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620E" w14:textId="77777777" w:rsidR="006F5A47" w:rsidRPr="00220F6B" w:rsidRDefault="00935C1D" w:rsidP="00220F6B">
      <w:pPr>
        <w:spacing w:line="360" w:lineRule="auto"/>
        <w:jc w:val="center"/>
        <w:rPr>
          <w:rStyle w:val="Nessuno"/>
          <w:rFonts w:ascii="Calibri" w:eastAsia="Calibri" w:hAnsi="Calibri" w:cs="Calibri"/>
          <w:b/>
          <w:bCs/>
          <w:sz w:val="32"/>
          <w:szCs w:val="32"/>
        </w:rPr>
      </w:pPr>
      <w:r w:rsidRPr="00220F6B">
        <w:rPr>
          <w:rFonts w:ascii="Calibri" w:hAnsi="Calibri" w:cs="Calibri"/>
          <w:noProof/>
          <w:sz w:val="32"/>
          <w:szCs w:val="32"/>
        </w:rPr>
        <w:drawing>
          <wp:inline distT="0" distB="0" distL="0" distR="0" wp14:anchorId="03C76FCF" wp14:editId="1519059C">
            <wp:extent cx="4590694" cy="1048933"/>
            <wp:effectExtent l="0" t="0" r="0" b="0"/>
            <wp:docPr id="1073741825" name="officeArt object" descr="cid:5C1F0307-3740-419D-A468-51F11D2BB9EE"/>
            <wp:cNvGraphicFramePr/>
            <a:graphic xmlns:a="http://schemas.openxmlformats.org/drawingml/2006/main">
              <a:graphicData uri="http://schemas.openxmlformats.org/drawingml/2006/picture">
                <pic:pic xmlns:pic="http://schemas.openxmlformats.org/drawingml/2006/picture">
                  <pic:nvPicPr>
                    <pic:cNvPr id="1073741825" name="cid:5C1F0307-3740-419D-A468-51F11D2BB9EE" descr="cid:5C1F0307-3740-419D-A468-51F11D2BB9EE"/>
                    <pic:cNvPicPr>
                      <a:picLocks noChangeAspect="1"/>
                    </pic:cNvPicPr>
                  </pic:nvPicPr>
                  <pic:blipFill>
                    <a:blip r:embed="rId8"/>
                    <a:stretch>
                      <a:fillRect/>
                    </a:stretch>
                  </pic:blipFill>
                  <pic:spPr>
                    <a:xfrm>
                      <a:off x="0" y="0"/>
                      <a:ext cx="4590694" cy="1048933"/>
                    </a:xfrm>
                    <a:prstGeom prst="rect">
                      <a:avLst/>
                    </a:prstGeom>
                    <a:ln w="12700" cap="flat">
                      <a:noFill/>
                      <a:miter lim="400000"/>
                    </a:ln>
                    <a:effectLst/>
                  </pic:spPr>
                </pic:pic>
              </a:graphicData>
            </a:graphic>
          </wp:inline>
        </w:drawing>
      </w:r>
    </w:p>
    <w:p w14:paraId="1DFBAC9F" w14:textId="77777777" w:rsidR="006F5A47" w:rsidRPr="00220F6B" w:rsidRDefault="006F5A47" w:rsidP="00220F6B">
      <w:pPr>
        <w:pStyle w:val="Corpotesto"/>
        <w:spacing w:after="0"/>
        <w:jc w:val="center"/>
        <w:rPr>
          <w:rFonts w:ascii="Calibri" w:eastAsia="Calibri" w:hAnsi="Calibri" w:cs="Calibri"/>
          <w:i/>
          <w:iCs/>
          <w:color w:val="000000"/>
          <w:sz w:val="32"/>
          <w:szCs w:val="32"/>
          <w:u w:color="00B0F0"/>
        </w:rPr>
      </w:pPr>
    </w:p>
    <w:p w14:paraId="62769A51" w14:textId="77777777" w:rsidR="006F5A47" w:rsidRPr="00220F6B" w:rsidRDefault="006F5A47" w:rsidP="00220F6B">
      <w:pPr>
        <w:pStyle w:val="Corpotesto"/>
        <w:spacing w:after="0"/>
        <w:jc w:val="center"/>
        <w:rPr>
          <w:rFonts w:ascii="Calibri" w:eastAsia="Calibri" w:hAnsi="Calibri" w:cs="Calibri"/>
          <w:i/>
          <w:iCs/>
          <w:color w:val="00B0F0"/>
          <w:sz w:val="32"/>
          <w:szCs w:val="32"/>
          <w:u w:color="00B0F0"/>
        </w:rPr>
      </w:pPr>
    </w:p>
    <w:p w14:paraId="7B0B1207" w14:textId="1B7395A4" w:rsidR="006F5A47" w:rsidRDefault="006F5A47" w:rsidP="00220F6B">
      <w:pPr>
        <w:pStyle w:val="Corpotesto"/>
        <w:spacing w:after="0"/>
        <w:jc w:val="center"/>
        <w:rPr>
          <w:rFonts w:ascii="Calibri" w:eastAsia="Calibri" w:hAnsi="Calibri" w:cs="Calibri"/>
          <w:i/>
          <w:iCs/>
          <w:color w:val="00B0F0"/>
          <w:sz w:val="32"/>
          <w:szCs w:val="32"/>
          <w:u w:color="00B0F0"/>
        </w:rPr>
      </w:pPr>
    </w:p>
    <w:p w14:paraId="3C408474" w14:textId="122621BF" w:rsidR="00B54CAF" w:rsidRDefault="00B54CAF" w:rsidP="00220F6B">
      <w:pPr>
        <w:pStyle w:val="Corpotesto"/>
        <w:spacing w:after="0"/>
        <w:jc w:val="center"/>
        <w:rPr>
          <w:rFonts w:ascii="Calibri" w:eastAsia="Calibri" w:hAnsi="Calibri" w:cs="Calibri"/>
          <w:i/>
          <w:iCs/>
          <w:color w:val="00B0F0"/>
          <w:sz w:val="32"/>
          <w:szCs w:val="32"/>
          <w:u w:color="00B0F0"/>
        </w:rPr>
      </w:pPr>
    </w:p>
    <w:p w14:paraId="5BE95A6D" w14:textId="223EF0B9" w:rsidR="00B54CAF" w:rsidRDefault="00B54CAF" w:rsidP="00220F6B">
      <w:pPr>
        <w:pStyle w:val="Corpotesto"/>
        <w:spacing w:after="0"/>
        <w:jc w:val="center"/>
        <w:rPr>
          <w:rFonts w:ascii="Calibri" w:eastAsia="Calibri" w:hAnsi="Calibri" w:cs="Calibri"/>
          <w:i/>
          <w:iCs/>
          <w:color w:val="00B0F0"/>
          <w:sz w:val="32"/>
          <w:szCs w:val="32"/>
          <w:u w:color="00B0F0"/>
        </w:rPr>
      </w:pPr>
    </w:p>
    <w:p w14:paraId="63A5BCFA" w14:textId="684F9F81" w:rsidR="00B54CAF" w:rsidRDefault="00B54CAF" w:rsidP="00220F6B">
      <w:pPr>
        <w:pStyle w:val="Corpotesto"/>
        <w:spacing w:after="0"/>
        <w:jc w:val="center"/>
        <w:rPr>
          <w:rFonts w:ascii="Calibri" w:eastAsia="Calibri" w:hAnsi="Calibri" w:cs="Calibri"/>
          <w:i/>
          <w:iCs/>
          <w:color w:val="00B0F0"/>
          <w:sz w:val="32"/>
          <w:szCs w:val="32"/>
          <w:u w:color="00B0F0"/>
        </w:rPr>
      </w:pPr>
    </w:p>
    <w:p w14:paraId="51A70C27" w14:textId="77777777" w:rsidR="00B54CAF" w:rsidRPr="00220F6B" w:rsidRDefault="00B54CAF" w:rsidP="00220F6B">
      <w:pPr>
        <w:pStyle w:val="Corpotesto"/>
        <w:spacing w:after="0"/>
        <w:jc w:val="center"/>
        <w:rPr>
          <w:rFonts w:ascii="Calibri" w:eastAsia="Calibri" w:hAnsi="Calibri" w:cs="Calibri"/>
          <w:i/>
          <w:iCs/>
          <w:color w:val="00B0F0"/>
          <w:sz w:val="32"/>
          <w:szCs w:val="32"/>
          <w:u w:color="00B0F0"/>
        </w:rPr>
      </w:pPr>
    </w:p>
    <w:p w14:paraId="2DCFF724" w14:textId="6EC8A2D0" w:rsidR="00191B03" w:rsidRDefault="00191B03" w:rsidP="00220F6B">
      <w:pPr>
        <w:pStyle w:val="Corpotesto"/>
        <w:spacing w:after="0"/>
        <w:jc w:val="center"/>
        <w:rPr>
          <w:rStyle w:val="Nessuno"/>
          <w:rFonts w:ascii="Calibri" w:eastAsia="Calibri" w:hAnsi="Calibri" w:cs="Calibri"/>
          <w:b/>
          <w:bCs/>
          <w:i/>
          <w:iCs/>
          <w:color w:val="00B0F0"/>
          <w:sz w:val="48"/>
          <w:szCs w:val="48"/>
          <w:u w:color="00B0F0"/>
        </w:rPr>
      </w:pPr>
      <w:r>
        <w:rPr>
          <w:rStyle w:val="Nessuno"/>
          <w:rFonts w:ascii="Calibri" w:eastAsia="Calibri" w:hAnsi="Calibri" w:cs="Calibri"/>
          <w:b/>
          <w:bCs/>
          <w:i/>
          <w:iCs/>
          <w:color w:val="00B0F0"/>
          <w:sz w:val="48"/>
          <w:szCs w:val="48"/>
          <w:u w:color="00B0F0"/>
        </w:rPr>
        <w:t>Allegato 1</w:t>
      </w:r>
    </w:p>
    <w:p w14:paraId="221B09D0" w14:textId="392635F7" w:rsidR="00191B03" w:rsidRPr="00220F6B" w:rsidRDefault="004C7027" w:rsidP="00220F6B">
      <w:pPr>
        <w:pStyle w:val="Corpotesto"/>
        <w:spacing w:after="0"/>
        <w:jc w:val="center"/>
        <w:rPr>
          <w:rFonts w:ascii="Calibri" w:eastAsia="Calibri" w:hAnsi="Calibri" w:cs="Calibri"/>
          <w:i/>
          <w:iCs/>
          <w:color w:val="000000"/>
          <w:sz w:val="48"/>
          <w:szCs w:val="48"/>
          <w:highlight w:val="yellow"/>
          <w:u w:color="00B0F0"/>
        </w:rPr>
      </w:pPr>
      <w:r>
        <w:rPr>
          <w:rStyle w:val="Nessuno"/>
          <w:rFonts w:ascii="Calibri" w:eastAsia="Calibri" w:hAnsi="Calibri" w:cs="Calibri"/>
          <w:b/>
          <w:bCs/>
          <w:i/>
          <w:iCs/>
          <w:color w:val="00B0F0"/>
          <w:sz w:val="48"/>
          <w:szCs w:val="48"/>
          <w:u w:color="00B0F0"/>
        </w:rPr>
        <w:t>ANALISI DI SCENARIO</w:t>
      </w:r>
    </w:p>
    <w:p w14:paraId="36C9EC7F" w14:textId="77777777" w:rsidR="006F5A47" w:rsidRPr="00220F6B" w:rsidRDefault="006F5A47" w:rsidP="00220F6B">
      <w:pPr>
        <w:pStyle w:val="Corpotesto"/>
        <w:spacing w:after="0"/>
        <w:jc w:val="center"/>
        <w:rPr>
          <w:rFonts w:ascii="Calibri" w:eastAsia="Calibri" w:hAnsi="Calibri" w:cs="Calibri"/>
          <w:i/>
          <w:iCs/>
          <w:color w:val="000000"/>
          <w:sz w:val="48"/>
          <w:szCs w:val="48"/>
          <w:highlight w:val="yellow"/>
          <w:u w:color="00B0F0"/>
        </w:rPr>
      </w:pPr>
    </w:p>
    <w:p w14:paraId="6A7D84D6" w14:textId="77777777" w:rsidR="006F5A47" w:rsidRPr="00220F6B" w:rsidRDefault="006F5A47" w:rsidP="00220F6B">
      <w:pPr>
        <w:pStyle w:val="Corpotesto"/>
        <w:spacing w:after="0"/>
        <w:jc w:val="center"/>
        <w:rPr>
          <w:rFonts w:ascii="Calibri" w:eastAsia="Calibri" w:hAnsi="Calibri" w:cs="Calibri"/>
          <w:i/>
          <w:iCs/>
          <w:color w:val="000000"/>
          <w:sz w:val="32"/>
          <w:szCs w:val="32"/>
          <w:highlight w:val="yellow"/>
          <w:u w:color="00B0F0"/>
        </w:rPr>
      </w:pPr>
    </w:p>
    <w:p w14:paraId="6134720B" w14:textId="77777777" w:rsidR="00385F6D" w:rsidRPr="00220F6B" w:rsidRDefault="00385F6D" w:rsidP="00220F6B">
      <w:pPr>
        <w:spacing w:line="360" w:lineRule="auto"/>
        <w:jc w:val="center"/>
        <w:rPr>
          <w:rStyle w:val="Nessuno"/>
          <w:rFonts w:ascii="Calibri" w:eastAsia="Calibri" w:hAnsi="Calibri" w:cs="Calibri"/>
          <w:i/>
          <w:iCs/>
          <w:color w:val="00B0F0"/>
          <w:sz w:val="32"/>
          <w:szCs w:val="32"/>
          <w:highlight w:val="yellow"/>
          <w:u w:color="00B0F0"/>
        </w:rPr>
      </w:pPr>
    </w:p>
    <w:p w14:paraId="30D02F53" w14:textId="77777777" w:rsidR="00385F6D" w:rsidRPr="00220F6B" w:rsidRDefault="00385F6D" w:rsidP="00220F6B">
      <w:pPr>
        <w:spacing w:line="360" w:lineRule="auto"/>
        <w:jc w:val="center"/>
        <w:rPr>
          <w:rStyle w:val="Nessuno"/>
          <w:rFonts w:ascii="Calibri" w:eastAsia="Calibri" w:hAnsi="Calibri" w:cs="Calibri"/>
          <w:i/>
          <w:iCs/>
          <w:color w:val="00B0F0"/>
          <w:sz w:val="32"/>
          <w:szCs w:val="32"/>
          <w:highlight w:val="yellow"/>
          <w:u w:color="00B0F0"/>
        </w:rPr>
      </w:pPr>
    </w:p>
    <w:p w14:paraId="7B5B4BF8" w14:textId="77777777" w:rsidR="00385F6D" w:rsidRPr="00220F6B" w:rsidRDefault="00385F6D" w:rsidP="00220F6B">
      <w:pPr>
        <w:spacing w:line="360" w:lineRule="auto"/>
        <w:jc w:val="center"/>
        <w:rPr>
          <w:rStyle w:val="Nessuno"/>
          <w:rFonts w:ascii="Calibri" w:eastAsia="Calibri" w:hAnsi="Calibri" w:cs="Calibri"/>
          <w:i/>
          <w:iCs/>
          <w:color w:val="00B0F0"/>
          <w:sz w:val="32"/>
          <w:szCs w:val="32"/>
          <w:highlight w:val="yellow"/>
          <w:u w:color="00B0F0"/>
        </w:rPr>
      </w:pPr>
    </w:p>
    <w:p w14:paraId="67208AEC" w14:textId="667E791E" w:rsidR="000843A0" w:rsidRPr="00220F6B" w:rsidRDefault="000843A0" w:rsidP="00220F6B">
      <w:pPr>
        <w:spacing w:line="360" w:lineRule="auto"/>
        <w:ind w:right="565"/>
        <w:jc w:val="both"/>
        <w:rPr>
          <w:rStyle w:val="Nessuno"/>
          <w:rFonts w:ascii="Calibri" w:eastAsia="Calibri" w:hAnsi="Calibri" w:cs="Calibri"/>
          <w:color w:val="auto"/>
          <w:sz w:val="32"/>
          <w:szCs w:val="32"/>
        </w:rPr>
      </w:pPr>
    </w:p>
    <w:p w14:paraId="1CF957A1" w14:textId="24A38C43" w:rsidR="000843A0" w:rsidRPr="00220F6B" w:rsidRDefault="000843A0" w:rsidP="00220F6B">
      <w:pPr>
        <w:spacing w:line="360" w:lineRule="auto"/>
        <w:ind w:right="565"/>
        <w:jc w:val="both"/>
        <w:rPr>
          <w:rStyle w:val="Nessuno"/>
          <w:rFonts w:ascii="Calibri" w:eastAsia="Calibri" w:hAnsi="Calibri" w:cs="Calibri"/>
          <w:color w:val="auto"/>
          <w:sz w:val="32"/>
          <w:szCs w:val="32"/>
        </w:rPr>
      </w:pPr>
    </w:p>
    <w:p w14:paraId="3148B8D6" w14:textId="4DE7C30E" w:rsidR="000843A0" w:rsidRPr="00220F6B" w:rsidRDefault="000843A0" w:rsidP="00220F6B">
      <w:pPr>
        <w:spacing w:line="360" w:lineRule="auto"/>
        <w:ind w:right="565"/>
        <w:jc w:val="both"/>
        <w:rPr>
          <w:rStyle w:val="Nessuno"/>
          <w:rFonts w:ascii="Calibri" w:eastAsia="Calibri" w:hAnsi="Calibri" w:cs="Calibri"/>
          <w:color w:val="auto"/>
          <w:sz w:val="32"/>
          <w:szCs w:val="32"/>
        </w:rPr>
      </w:pPr>
    </w:p>
    <w:p w14:paraId="4F32DDB5" w14:textId="6D7038A0" w:rsidR="000843A0" w:rsidRPr="00220F6B" w:rsidRDefault="000843A0" w:rsidP="00220F6B">
      <w:pPr>
        <w:spacing w:line="360" w:lineRule="auto"/>
        <w:ind w:right="565"/>
        <w:jc w:val="both"/>
        <w:rPr>
          <w:rStyle w:val="Nessuno"/>
          <w:rFonts w:ascii="Calibri" w:eastAsia="Calibri" w:hAnsi="Calibri" w:cs="Calibri"/>
          <w:color w:val="auto"/>
          <w:sz w:val="32"/>
          <w:szCs w:val="32"/>
        </w:rPr>
      </w:pPr>
    </w:p>
    <w:p w14:paraId="2F88E331" w14:textId="09F123D1" w:rsidR="00B22A94"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lastRenderedPageBreak/>
        <w:t>La crisi energetica europea ha assistito a</w:t>
      </w:r>
      <w:r>
        <w:rPr>
          <w:rStyle w:val="Nessuno"/>
          <w:rFonts w:ascii="Calibri" w:eastAsia="Calibri" w:hAnsi="Calibri" w:cs="Calibri"/>
          <w:color w:val="auto"/>
          <w:sz w:val="32"/>
          <w:szCs w:val="32"/>
          <w:shd w:val="clear" w:color="auto" w:fill="FFFFFF"/>
        </w:rPr>
        <w:t>d</w:t>
      </w:r>
      <w:r w:rsidRPr="00BE3FE2">
        <w:rPr>
          <w:rStyle w:val="Nessuno"/>
          <w:rFonts w:ascii="Calibri" w:eastAsia="Calibri" w:hAnsi="Calibri" w:cs="Calibri"/>
          <w:color w:val="auto"/>
          <w:sz w:val="32"/>
          <w:szCs w:val="32"/>
          <w:shd w:val="clear" w:color="auto" w:fill="FFFFFF"/>
        </w:rPr>
        <w:t xml:space="preserve"> una fase di recrudescenza il mese scorso con il TTF che il 21 Dicembre 2021 ha raggiunto i €180/MWh in scia al sostanziale stallo dei flussi di gas dall’impianto di compressione di Mallnow (-83% a dicembre 2021 su base annuale) che ha spinto il deficit di mercato a 20 miliardi di metri cubi rispetto alla media degli ultimi 5 anni. La dinamica, secondo alcuni osservatori, dovrebbe essere letta nel tentativo del governo di Mosca di forzare la mano di Bruxelles e Berlino dopo l’interruzione del processo di certificazione del gasdotto NorthStream2. Un’accusa</w:t>
      </w:r>
      <w:r w:rsidR="00B22A94">
        <w:rPr>
          <w:rStyle w:val="Nessuno"/>
          <w:rFonts w:ascii="Calibri" w:eastAsia="Calibri" w:hAnsi="Calibri" w:cs="Calibri"/>
          <w:color w:val="auto"/>
          <w:sz w:val="32"/>
          <w:szCs w:val="32"/>
          <w:shd w:val="clear" w:color="auto" w:fill="FFFFFF"/>
        </w:rPr>
        <w:t xml:space="preserve"> </w:t>
      </w:r>
      <w:r w:rsidRPr="00BE3FE2">
        <w:rPr>
          <w:rStyle w:val="Nessuno"/>
          <w:rFonts w:ascii="Calibri" w:eastAsia="Calibri" w:hAnsi="Calibri" w:cs="Calibri"/>
          <w:color w:val="auto"/>
          <w:sz w:val="32"/>
          <w:szCs w:val="32"/>
          <w:shd w:val="clear" w:color="auto" w:fill="FFFFFF"/>
        </w:rPr>
        <w:t xml:space="preserve">che la Russia ha rispedito al mittente, evidenziando il rispetto dei contratti a lungo termine e le necessità del mercato interno. </w:t>
      </w:r>
    </w:p>
    <w:p w14:paraId="06C047F8" w14:textId="77777777" w:rsidR="00B22A94"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 xml:space="preserve">Sul primo punto è opportuno evidenziare come Gazprom, pur rispettando i contratti di lungo termine, abbia interrotto le vendite sul mercato spot dal 13 ottobre 2021. Sul secondo punto invece, secondo i dati riportati da Argus Media, il 29 dicembre 2021 appena 12,6 miliardi di metri cubi sarebbero stati prelevati dai magazzini russi nel quarto trimestre, pari al livello più basso dal 2015, lasciando un livello di scorte più alto rispetto </w:t>
      </w:r>
      <w:r w:rsidR="00B22A94">
        <w:rPr>
          <w:rStyle w:val="Nessuno"/>
          <w:rFonts w:ascii="Calibri" w:eastAsia="Calibri" w:hAnsi="Calibri" w:cs="Calibri"/>
          <w:color w:val="auto"/>
          <w:sz w:val="32"/>
          <w:szCs w:val="32"/>
          <w:shd w:val="clear" w:color="auto" w:fill="FFFFFF"/>
        </w:rPr>
        <w:t>a</w:t>
      </w:r>
      <w:r w:rsidRPr="00BE3FE2">
        <w:rPr>
          <w:rStyle w:val="Nessuno"/>
          <w:rFonts w:ascii="Calibri" w:eastAsia="Calibri" w:hAnsi="Calibri" w:cs="Calibri"/>
          <w:color w:val="auto"/>
          <w:sz w:val="32"/>
          <w:szCs w:val="32"/>
          <w:shd w:val="clear" w:color="auto" w:fill="FFFFFF"/>
        </w:rPr>
        <w:t xml:space="preserve">l 2020. </w:t>
      </w:r>
    </w:p>
    <w:p w14:paraId="6FB0B8A2" w14:textId="2E087707" w:rsidR="00BE3FE2" w:rsidRP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 xml:space="preserve">Da evidenziare è </w:t>
      </w:r>
      <w:r w:rsidR="00B22A94">
        <w:rPr>
          <w:rStyle w:val="Nessuno"/>
          <w:rFonts w:ascii="Calibri" w:eastAsia="Calibri" w:hAnsi="Calibri" w:cs="Calibri"/>
          <w:color w:val="auto"/>
          <w:sz w:val="32"/>
          <w:szCs w:val="32"/>
          <w:shd w:val="clear" w:color="auto" w:fill="FFFFFF"/>
        </w:rPr>
        <w:t xml:space="preserve">anche </w:t>
      </w:r>
      <w:r w:rsidRPr="00BE3FE2">
        <w:rPr>
          <w:rStyle w:val="Nessuno"/>
          <w:rFonts w:ascii="Calibri" w:eastAsia="Calibri" w:hAnsi="Calibri" w:cs="Calibri"/>
          <w:color w:val="auto"/>
          <w:sz w:val="32"/>
          <w:szCs w:val="32"/>
          <w:shd w:val="clear" w:color="auto" w:fill="FFFFFF"/>
        </w:rPr>
        <w:t>il ruolo della Cina: il 23 dicembre 2021 i flussi di gas russo verso la Cina attraverso la ‘Power of Siberia’ hanno raggiunto il record. In attesa che si sblocchi l’</w:t>
      </w:r>
      <w:r w:rsidR="00B22A94">
        <w:rPr>
          <w:rStyle w:val="Nessuno"/>
          <w:rFonts w:ascii="Calibri" w:eastAsia="Calibri" w:hAnsi="Calibri" w:cs="Calibri"/>
          <w:color w:val="auto"/>
          <w:sz w:val="32"/>
          <w:szCs w:val="32"/>
          <w:shd w:val="clear" w:color="auto" w:fill="FFFFFF"/>
        </w:rPr>
        <w:t>i</w:t>
      </w:r>
      <w:r w:rsidRPr="00BE3FE2">
        <w:rPr>
          <w:rStyle w:val="Nessuno"/>
          <w:rFonts w:ascii="Calibri" w:eastAsia="Calibri" w:hAnsi="Calibri" w:cs="Calibri"/>
          <w:color w:val="auto"/>
          <w:sz w:val="32"/>
          <w:szCs w:val="32"/>
          <w:shd w:val="clear" w:color="auto" w:fill="FFFFFF"/>
        </w:rPr>
        <w:t>mpasse sul NorthStream2, Mosca e Pechino caldeggiano il raddoppio del gasdotto che partirà dallo stesso giacimento che oggi rifornisce l’Europa.</w:t>
      </w:r>
    </w:p>
    <w:p w14:paraId="1C2A96C5" w14:textId="7D8D0A3D" w:rsid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lastRenderedPageBreak/>
        <w:t>Tuttavia, nell’ultima settimana di dicembre, si è assistito a un marcato raffreddamento dei prezzi in ragione delle alte temperature stagionali</w:t>
      </w:r>
      <w:r w:rsidR="00B22A94">
        <w:rPr>
          <w:rStyle w:val="Nessuno"/>
          <w:rFonts w:ascii="Calibri" w:eastAsia="Calibri" w:hAnsi="Calibri" w:cs="Calibri"/>
          <w:color w:val="auto"/>
          <w:sz w:val="32"/>
          <w:szCs w:val="32"/>
          <w:shd w:val="clear" w:color="auto" w:fill="FFFFFF"/>
        </w:rPr>
        <w:t xml:space="preserve">, </w:t>
      </w:r>
      <w:r w:rsidRPr="00BE3FE2">
        <w:rPr>
          <w:rStyle w:val="Nessuno"/>
          <w:rFonts w:ascii="Calibri" w:eastAsia="Calibri" w:hAnsi="Calibri" w:cs="Calibri"/>
          <w:color w:val="auto"/>
          <w:sz w:val="32"/>
          <w:szCs w:val="32"/>
          <w:shd w:val="clear" w:color="auto" w:fill="FFFFFF"/>
        </w:rPr>
        <w:t>che hanno comportato un calo dei consumi di gas di circa 1,5 miliardi di metri cubi</w:t>
      </w:r>
      <w:r w:rsidR="00B22A94">
        <w:rPr>
          <w:rStyle w:val="Nessuno"/>
          <w:rFonts w:ascii="Calibri" w:eastAsia="Calibri" w:hAnsi="Calibri" w:cs="Calibri"/>
          <w:color w:val="auto"/>
          <w:sz w:val="32"/>
          <w:szCs w:val="32"/>
          <w:shd w:val="clear" w:color="auto" w:fill="FFFFFF"/>
        </w:rPr>
        <w:t>,</w:t>
      </w:r>
      <w:r w:rsidRPr="00BE3FE2">
        <w:rPr>
          <w:rStyle w:val="Nessuno"/>
          <w:rFonts w:ascii="Calibri" w:eastAsia="Calibri" w:hAnsi="Calibri" w:cs="Calibri"/>
          <w:color w:val="auto"/>
          <w:sz w:val="32"/>
          <w:szCs w:val="32"/>
          <w:shd w:val="clear" w:color="auto" w:fill="FFFFFF"/>
        </w:rPr>
        <w:t xml:space="preserve"> e dell’indebolimento della domanda industriale da parte di alcuni settori particolarmente energivori (metalli, acciaio, ceramica, vetro) la cui marginalità è passata in negativo, costringendo alcuni player di mercato a fermate produttive. </w:t>
      </w:r>
    </w:p>
    <w:p w14:paraId="26CEBD86" w14:textId="64497ECA" w:rsidR="00271F71" w:rsidRPr="00BE3FE2" w:rsidRDefault="00271F71" w:rsidP="00BE3FE2">
      <w:pPr>
        <w:spacing w:line="360" w:lineRule="auto"/>
        <w:jc w:val="both"/>
        <w:rPr>
          <w:rStyle w:val="Nessuno"/>
          <w:rFonts w:ascii="Calibri" w:eastAsia="Calibri" w:hAnsi="Calibri" w:cs="Calibri"/>
          <w:color w:val="auto"/>
          <w:sz w:val="32"/>
          <w:szCs w:val="32"/>
          <w:shd w:val="clear" w:color="auto" w:fill="FFFFFF"/>
        </w:rPr>
      </w:pPr>
      <w:r>
        <w:rPr>
          <w:rFonts w:ascii="Arial Narrow" w:hAnsi="Arial Narrow"/>
          <w:noProof/>
        </w:rPr>
        <w:drawing>
          <wp:inline distT="0" distB="0" distL="0" distR="0" wp14:anchorId="729205AA" wp14:editId="66F03561">
            <wp:extent cx="4400550" cy="260032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326" cy="2611419"/>
                    </a:xfrm>
                    <a:prstGeom prst="rect">
                      <a:avLst/>
                    </a:prstGeom>
                    <a:noFill/>
                    <a:ln>
                      <a:noFill/>
                    </a:ln>
                  </pic:spPr>
                </pic:pic>
              </a:graphicData>
            </a:graphic>
          </wp:inline>
        </w:drawing>
      </w:r>
    </w:p>
    <w:p w14:paraId="28E6D46A" w14:textId="37C8A3B1" w:rsidR="00BE3FE2" w:rsidRP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Dal massimo storico di €150/MWh il TTF è così crollato fino a tocca</w:t>
      </w:r>
      <w:r w:rsidR="00B22A94">
        <w:rPr>
          <w:rStyle w:val="Nessuno"/>
          <w:rFonts w:ascii="Calibri" w:eastAsia="Calibri" w:hAnsi="Calibri" w:cs="Calibri"/>
          <w:color w:val="auto"/>
          <w:sz w:val="32"/>
          <w:szCs w:val="32"/>
          <w:shd w:val="clear" w:color="auto" w:fill="FFFFFF"/>
        </w:rPr>
        <w:t>re</w:t>
      </w:r>
      <w:r w:rsidRPr="00BE3FE2">
        <w:rPr>
          <w:rStyle w:val="Nessuno"/>
          <w:rFonts w:ascii="Calibri" w:eastAsia="Calibri" w:hAnsi="Calibri" w:cs="Calibri"/>
          <w:color w:val="auto"/>
          <w:sz w:val="32"/>
          <w:szCs w:val="32"/>
          <w:shd w:val="clear" w:color="auto" w:fill="FFFFFF"/>
        </w:rPr>
        <w:t xml:space="preserve"> i €65/MWh il 31 dicembre. Ad alimentare le vendite sul contratto sono giunti anche i primi arrivi di GNL dagli Usa in ragione dell’arbitraggio favorevole offerto dal TTF rispetto al prezzo del gas naturale in Asia (contratto JKM) e fattori di natura tecnica legati alle prese di profitto dalle posizioni long (rialziste) detenute dai CTA (Commodities Trading Advisors) e alla bassa liquidità di mercati tipica della fine dell’anno. </w:t>
      </w:r>
    </w:p>
    <w:p w14:paraId="1EFA9C6D" w14:textId="267CA049" w:rsid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A dicembre il prezzo del TTF in MMBTu (linea arancione) ha superato quello del JKM (linea viola) aprendo agli arrivi di GNL</w:t>
      </w:r>
      <w:r w:rsidR="00271F71">
        <w:rPr>
          <w:rStyle w:val="Nessuno"/>
          <w:rFonts w:ascii="Calibri" w:eastAsia="Calibri" w:hAnsi="Calibri" w:cs="Calibri"/>
          <w:color w:val="auto"/>
          <w:sz w:val="32"/>
          <w:szCs w:val="32"/>
          <w:shd w:val="clear" w:color="auto" w:fill="FFFFFF"/>
        </w:rPr>
        <w:t>.</w:t>
      </w:r>
    </w:p>
    <w:p w14:paraId="161DDBAD" w14:textId="12813672" w:rsidR="00271F71" w:rsidRPr="00BE3FE2" w:rsidRDefault="00271F71" w:rsidP="00BE3FE2">
      <w:pPr>
        <w:spacing w:line="360" w:lineRule="auto"/>
        <w:jc w:val="both"/>
        <w:rPr>
          <w:rStyle w:val="Nessuno"/>
          <w:rFonts w:ascii="Calibri" w:eastAsia="Calibri" w:hAnsi="Calibri" w:cs="Calibri"/>
          <w:color w:val="auto"/>
          <w:sz w:val="32"/>
          <w:szCs w:val="32"/>
          <w:shd w:val="clear" w:color="auto" w:fill="FFFFFF"/>
        </w:rPr>
      </w:pPr>
      <w:r>
        <w:rPr>
          <w:noProof/>
        </w:rPr>
        <w:lastRenderedPageBreak/>
        <w:drawing>
          <wp:inline distT="0" distB="0" distL="0" distR="0" wp14:anchorId="0212688B" wp14:editId="174147A8">
            <wp:extent cx="4319905" cy="2405127"/>
            <wp:effectExtent l="0" t="0" r="4445" b="0"/>
            <wp:docPr id="3" name="Immagine 3"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mma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5680" cy="2408343"/>
                    </a:xfrm>
                    <a:prstGeom prst="rect">
                      <a:avLst/>
                    </a:prstGeom>
                    <a:noFill/>
                    <a:ln>
                      <a:noFill/>
                    </a:ln>
                  </pic:spPr>
                </pic:pic>
              </a:graphicData>
            </a:graphic>
          </wp:inline>
        </w:drawing>
      </w:r>
    </w:p>
    <w:p w14:paraId="0468D776" w14:textId="273C93FF" w:rsidR="00BE3FE2" w:rsidRP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 xml:space="preserve"> </w:t>
      </w:r>
    </w:p>
    <w:p w14:paraId="3FD78446" w14:textId="77777777" w:rsidR="00B22A94" w:rsidRDefault="00BE3FE2" w:rsidP="00BE3FE2">
      <w:pPr>
        <w:spacing w:line="360" w:lineRule="auto"/>
        <w:jc w:val="both"/>
        <w:rPr>
          <w:rStyle w:val="Nessuno"/>
          <w:rFonts w:ascii="Calibri" w:eastAsia="Calibri" w:hAnsi="Calibri" w:cs="Calibri"/>
          <w:color w:val="auto"/>
          <w:sz w:val="32"/>
          <w:szCs w:val="32"/>
          <w:shd w:val="clear" w:color="auto" w:fill="FFFFFF"/>
        </w:rPr>
      </w:pPr>
      <w:r w:rsidRPr="00B22A94">
        <w:rPr>
          <w:rStyle w:val="Nessuno"/>
          <w:rFonts w:ascii="Calibri" w:eastAsia="Calibri" w:hAnsi="Calibri" w:cs="Calibri"/>
          <w:b/>
          <w:bCs/>
          <w:color w:val="0070C0"/>
          <w:sz w:val="32"/>
          <w:szCs w:val="32"/>
          <w:shd w:val="clear" w:color="auto" w:fill="FFFFFF"/>
        </w:rPr>
        <w:t>PROSPETTIVE</w:t>
      </w:r>
    </w:p>
    <w:p w14:paraId="7205DEE3" w14:textId="7C963FAE" w:rsid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Nell’insieme, dunque, la riduzione della domanda</w:t>
      </w:r>
      <w:r w:rsidR="00B22A94">
        <w:rPr>
          <w:rStyle w:val="Nessuno"/>
          <w:rFonts w:ascii="Calibri" w:eastAsia="Calibri" w:hAnsi="Calibri" w:cs="Calibri"/>
          <w:color w:val="auto"/>
          <w:sz w:val="32"/>
          <w:szCs w:val="32"/>
          <w:shd w:val="clear" w:color="auto" w:fill="FFFFFF"/>
        </w:rPr>
        <w:t>,</w:t>
      </w:r>
      <w:r w:rsidRPr="00BE3FE2">
        <w:rPr>
          <w:rStyle w:val="Nessuno"/>
          <w:rFonts w:ascii="Calibri" w:eastAsia="Calibri" w:hAnsi="Calibri" w:cs="Calibri"/>
          <w:color w:val="auto"/>
          <w:sz w:val="32"/>
          <w:szCs w:val="32"/>
          <w:shd w:val="clear" w:color="auto" w:fill="FFFFFF"/>
        </w:rPr>
        <w:t xml:space="preserve"> la forte produzione dai fornitori esteri non russi e l’aumento delle importazioni di GNL hanno contribuito a generare un equilibrio instabile del mercato energetico europeo, compensando in parte la minore offerta russa. La situazione sul lato dello stoccaggio rimane tuttavia caratterizzata dalla tensione. L’assenza di flussi dal NorthStream2 infatti manterrà il bilanciamento del mercato vulnerabile alla variabilità del meteo e agli arrivi di GNL. Stando a Bank of America</w:t>
      </w:r>
      <w:r w:rsidR="00B22A94">
        <w:rPr>
          <w:rStyle w:val="Nessuno"/>
          <w:rFonts w:ascii="Calibri" w:eastAsia="Calibri" w:hAnsi="Calibri" w:cs="Calibri"/>
          <w:color w:val="auto"/>
          <w:sz w:val="32"/>
          <w:szCs w:val="32"/>
          <w:shd w:val="clear" w:color="auto" w:fill="FFFFFF"/>
        </w:rPr>
        <w:t>,</w:t>
      </w:r>
      <w:r w:rsidRPr="00BE3FE2">
        <w:rPr>
          <w:rStyle w:val="Nessuno"/>
          <w:rFonts w:ascii="Calibri" w:eastAsia="Calibri" w:hAnsi="Calibri" w:cs="Calibri"/>
          <w:color w:val="auto"/>
          <w:sz w:val="32"/>
          <w:szCs w:val="32"/>
          <w:shd w:val="clear" w:color="auto" w:fill="FFFFFF"/>
        </w:rPr>
        <w:t xml:space="preserve"> il deficit rispetto alla media degli ultimi 5 anni si attesterà dagli attuali 15 miliardi di metri cubi a 12 miliardi di metri cubi entro la fine di marzo (che porterebbe il livello delle scorte a 8 miliardi di metri cubi), ipotizzando un meteo favorevole. BloombergNEF nutre aspettative simili. </w:t>
      </w:r>
    </w:p>
    <w:p w14:paraId="2B1603D4" w14:textId="069D9B2F" w:rsidR="00271F71" w:rsidRPr="00BE3FE2" w:rsidRDefault="00271F71" w:rsidP="00BE3FE2">
      <w:pPr>
        <w:spacing w:line="360" w:lineRule="auto"/>
        <w:jc w:val="both"/>
        <w:rPr>
          <w:rStyle w:val="Nessuno"/>
          <w:rFonts w:ascii="Calibri" w:eastAsia="Calibri" w:hAnsi="Calibri" w:cs="Calibri"/>
          <w:color w:val="auto"/>
          <w:sz w:val="32"/>
          <w:szCs w:val="32"/>
          <w:shd w:val="clear" w:color="auto" w:fill="FFFFFF"/>
        </w:rPr>
      </w:pPr>
      <w:r>
        <w:rPr>
          <w:noProof/>
        </w:rPr>
        <w:lastRenderedPageBreak/>
        <w:drawing>
          <wp:inline distT="0" distB="0" distL="0" distR="0" wp14:anchorId="67571245" wp14:editId="1264C3C0">
            <wp:extent cx="4314825" cy="279037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5911" cy="2791074"/>
                    </a:xfrm>
                    <a:prstGeom prst="rect">
                      <a:avLst/>
                    </a:prstGeom>
                    <a:noFill/>
                    <a:ln>
                      <a:noFill/>
                    </a:ln>
                  </pic:spPr>
                </pic:pic>
              </a:graphicData>
            </a:graphic>
          </wp:inline>
        </w:drawing>
      </w:r>
    </w:p>
    <w:p w14:paraId="72881CF9" w14:textId="2CFE12FB" w:rsidR="00BE3FE2" w:rsidRP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Tuttavia, i rischi sui prezzi rimangono rivolti al rialzo nel caso in cui:</w:t>
      </w:r>
    </w:p>
    <w:p w14:paraId="6ACC6DE5" w14:textId="77777777" w:rsidR="00BE3FE2" w:rsidRP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1.</w:t>
      </w:r>
      <w:r w:rsidRPr="00BE3FE2">
        <w:rPr>
          <w:rStyle w:val="Nessuno"/>
          <w:rFonts w:ascii="Calibri" w:eastAsia="Calibri" w:hAnsi="Calibri" w:cs="Calibri"/>
          <w:color w:val="auto"/>
          <w:sz w:val="32"/>
          <w:szCs w:val="32"/>
          <w:shd w:val="clear" w:color="auto" w:fill="FFFFFF"/>
        </w:rPr>
        <w:tab/>
        <w:t>Le temperature dovessero scendere sotto la media</w:t>
      </w:r>
    </w:p>
    <w:p w14:paraId="3FA0EAB2" w14:textId="77777777" w:rsidR="00BE3FE2" w:rsidRP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2.</w:t>
      </w:r>
      <w:r w:rsidRPr="00BE3FE2">
        <w:rPr>
          <w:rStyle w:val="Nessuno"/>
          <w:rFonts w:ascii="Calibri" w:eastAsia="Calibri" w:hAnsi="Calibri" w:cs="Calibri"/>
          <w:color w:val="auto"/>
          <w:sz w:val="32"/>
          <w:szCs w:val="32"/>
          <w:shd w:val="clear" w:color="auto" w:fill="FFFFFF"/>
        </w:rPr>
        <w:tab/>
        <w:t xml:space="preserve">Si dovesse assistere a nuove interruzioni di gas dalla Russia </w:t>
      </w:r>
    </w:p>
    <w:p w14:paraId="2BB0AE9C" w14:textId="2A2AEAD8" w:rsidR="00BE3FE2" w:rsidRP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3.</w:t>
      </w:r>
      <w:r w:rsidRPr="00BE3FE2">
        <w:rPr>
          <w:rStyle w:val="Nessuno"/>
          <w:rFonts w:ascii="Calibri" w:eastAsia="Calibri" w:hAnsi="Calibri" w:cs="Calibri"/>
          <w:color w:val="auto"/>
          <w:sz w:val="32"/>
          <w:szCs w:val="32"/>
          <w:shd w:val="clear" w:color="auto" w:fill="FFFFFF"/>
        </w:rPr>
        <w:tab/>
        <w:t>Ripartissero gli acquisti di GNL dall’Asia</w:t>
      </w:r>
    </w:p>
    <w:p w14:paraId="34276247" w14:textId="1911915F" w:rsidR="00BE3FE2" w:rsidRP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L’ipotesi di un conflitto militare in Ucraina, accompagnat</w:t>
      </w:r>
      <w:r w:rsidR="006A79CF">
        <w:rPr>
          <w:rStyle w:val="Nessuno"/>
          <w:rFonts w:ascii="Calibri" w:eastAsia="Calibri" w:hAnsi="Calibri" w:cs="Calibri"/>
          <w:color w:val="auto"/>
          <w:sz w:val="32"/>
          <w:szCs w:val="32"/>
          <w:shd w:val="clear" w:color="auto" w:fill="FFFFFF"/>
        </w:rPr>
        <w:t>a</w:t>
      </w:r>
      <w:r w:rsidRPr="00BE3FE2">
        <w:rPr>
          <w:rStyle w:val="Nessuno"/>
          <w:rFonts w:ascii="Calibri" w:eastAsia="Calibri" w:hAnsi="Calibri" w:cs="Calibri"/>
          <w:color w:val="auto"/>
          <w:sz w:val="32"/>
          <w:szCs w:val="32"/>
          <w:shd w:val="clear" w:color="auto" w:fill="FFFFFF"/>
        </w:rPr>
        <w:t xml:space="preserve"> da temperature più basse della media in Europa e in Asia, rappresenta pertanto il </w:t>
      </w:r>
      <w:r w:rsidRPr="006A79CF">
        <w:rPr>
          <w:rStyle w:val="Nessuno"/>
          <w:rFonts w:ascii="Calibri" w:eastAsia="Calibri" w:hAnsi="Calibri" w:cs="Calibri"/>
          <w:i/>
          <w:iCs/>
          <w:color w:val="auto"/>
          <w:sz w:val="32"/>
          <w:szCs w:val="32"/>
          <w:shd w:val="clear" w:color="auto" w:fill="FFFFFF"/>
        </w:rPr>
        <w:t>worst case scenario</w:t>
      </w:r>
      <w:r w:rsidRPr="00BE3FE2">
        <w:rPr>
          <w:rStyle w:val="Nessuno"/>
          <w:rFonts w:ascii="Calibri" w:eastAsia="Calibri" w:hAnsi="Calibri" w:cs="Calibri"/>
          <w:color w:val="auto"/>
          <w:sz w:val="32"/>
          <w:szCs w:val="32"/>
          <w:shd w:val="clear" w:color="auto" w:fill="FFFFFF"/>
        </w:rPr>
        <w:t xml:space="preserve"> di breve termine per il mercato energetico europeo. Un freno ai prezzi potrebbe giungere dagli arrivi di GNL che rappresenteranno un elemento importante nel bilanciamento del mercato energetico europeo nel 2022. Ma, in quest’ottica, occorre fare </w:t>
      </w:r>
      <w:r w:rsidR="006A79CF">
        <w:rPr>
          <w:rStyle w:val="Nessuno"/>
          <w:rFonts w:ascii="Calibri" w:eastAsia="Calibri" w:hAnsi="Calibri" w:cs="Calibri"/>
          <w:color w:val="auto"/>
          <w:sz w:val="32"/>
          <w:szCs w:val="32"/>
          <w:shd w:val="clear" w:color="auto" w:fill="FFFFFF"/>
        </w:rPr>
        <w:t>due</w:t>
      </w:r>
      <w:r w:rsidRPr="00BE3FE2">
        <w:rPr>
          <w:rStyle w:val="Nessuno"/>
          <w:rFonts w:ascii="Calibri" w:eastAsia="Calibri" w:hAnsi="Calibri" w:cs="Calibri"/>
          <w:color w:val="auto"/>
          <w:sz w:val="32"/>
          <w:szCs w:val="32"/>
          <w:shd w:val="clear" w:color="auto" w:fill="FFFFFF"/>
        </w:rPr>
        <w:t xml:space="preserve"> considerazioni relative alla capacità europea di assorbire un forte aumento delle consegne di GNL e alla domanda dall’Asia</w:t>
      </w:r>
      <w:r w:rsidR="006A79CF">
        <w:rPr>
          <w:rStyle w:val="Nessuno"/>
          <w:rFonts w:ascii="Calibri" w:eastAsia="Calibri" w:hAnsi="Calibri" w:cs="Calibri"/>
          <w:color w:val="auto"/>
          <w:sz w:val="32"/>
          <w:szCs w:val="32"/>
          <w:shd w:val="clear" w:color="auto" w:fill="FFFFFF"/>
        </w:rPr>
        <w:t xml:space="preserve"> e da </w:t>
      </w:r>
      <w:r w:rsidRPr="00BE3FE2">
        <w:rPr>
          <w:rStyle w:val="Nessuno"/>
          <w:rFonts w:ascii="Calibri" w:eastAsia="Calibri" w:hAnsi="Calibri" w:cs="Calibri"/>
          <w:color w:val="auto"/>
          <w:sz w:val="32"/>
          <w:szCs w:val="32"/>
          <w:shd w:val="clear" w:color="auto" w:fill="FFFFFF"/>
        </w:rPr>
        <w:t xml:space="preserve">altri paesi. </w:t>
      </w:r>
    </w:p>
    <w:p w14:paraId="65F1FBD5" w14:textId="77777777" w:rsidR="00BE3FE2" w:rsidRPr="00BE3FE2" w:rsidRDefault="00BE3FE2" w:rsidP="00BE3FE2">
      <w:pPr>
        <w:spacing w:line="360" w:lineRule="auto"/>
        <w:jc w:val="both"/>
        <w:rPr>
          <w:rStyle w:val="Nessuno"/>
          <w:rFonts w:ascii="Calibri" w:eastAsia="Calibri" w:hAnsi="Calibri" w:cs="Calibri"/>
          <w:color w:val="auto"/>
          <w:sz w:val="32"/>
          <w:szCs w:val="32"/>
          <w:shd w:val="clear" w:color="auto" w:fill="FFFFFF"/>
        </w:rPr>
      </w:pPr>
    </w:p>
    <w:p w14:paraId="1CA3AA10" w14:textId="2DB36FC5" w:rsid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lastRenderedPageBreak/>
        <w:t>1.</w:t>
      </w:r>
      <w:r w:rsidRPr="00BE3FE2">
        <w:rPr>
          <w:rStyle w:val="Nessuno"/>
          <w:rFonts w:ascii="Calibri" w:eastAsia="Calibri" w:hAnsi="Calibri" w:cs="Calibri"/>
          <w:color w:val="auto"/>
          <w:sz w:val="32"/>
          <w:szCs w:val="32"/>
          <w:shd w:val="clear" w:color="auto" w:fill="FFFFFF"/>
        </w:rPr>
        <w:tab/>
        <w:t xml:space="preserve">Sul primo punto è opportuno evidenziare come l’ipotesi ventilata dall’agenzia Reuters, secondo cui il governo USA avrebbe aperto un canale di comunicazione con alcuni produttori privati di gas al fine di rifornire il mercato europeo in caso di un blocco delle consegne dalla Russia, deve essere rapportata alla carenza di gassificatori idle che possano processare tanto GNL da rimpiazzare </w:t>
      </w:r>
      <w:r w:rsidR="006A79CF">
        <w:rPr>
          <w:rStyle w:val="Nessuno"/>
          <w:rFonts w:ascii="Calibri" w:eastAsia="Calibri" w:hAnsi="Calibri" w:cs="Calibri"/>
          <w:color w:val="auto"/>
          <w:sz w:val="32"/>
          <w:szCs w:val="32"/>
          <w:shd w:val="clear" w:color="auto" w:fill="FFFFFF"/>
        </w:rPr>
        <w:t xml:space="preserve">i </w:t>
      </w:r>
      <w:r w:rsidRPr="00BE3FE2">
        <w:rPr>
          <w:rStyle w:val="Nessuno"/>
          <w:rFonts w:ascii="Calibri" w:eastAsia="Calibri" w:hAnsi="Calibri" w:cs="Calibri"/>
          <w:color w:val="auto"/>
          <w:sz w:val="32"/>
          <w:szCs w:val="32"/>
          <w:shd w:val="clear" w:color="auto" w:fill="FFFFFF"/>
        </w:rPr>
        <w:t xml:space="preserve">flussi da Est. Situazione diversa invece in Cina dove </w:t>
      </w:r>
      <w:r w:rsidR="006A79CF" w:rsidRPr="00BE3FE2">
        <w:rPr>
          <w:rStyle w:val="Nessuno"/>
          <w:rFonts w:ascii="Calibri" w:eastAsia="Calibri" w:hAnsi="Calibri" w:cs="Calibri"/>
          <w:color w:val="auto"/>
          <w:sz w:val="32"/>
          <w:szCs w:val="32"/>
          <w:shd w:val="clear" w:color="auto" w:fill="FFFFFF"/>
        </w:rPr>
        <w:t xml:space="preserve">nel 2022 </w:t>
      </w:r>
      <w:r w:rsidRPr="00BE3FE2">
        <w:rPr>
          <w:rStyle w:val="Nessuno"/>
          <w:rFonts w:ascii="Calibri" w:eastAsia="Calibri" w:hAnsi="Calibri" w:cs="Calibri"/>
          <w:color w:val="auto"/>
          <w:sz w:val="32"/>
          <w:szCs w:val="32"/>
          <w:shd w:val="clear" w:color="auto" w:fill="FFFFFF"/>
        </w:rPr>
        <w:t>è attesa l’entrata in funzione di 9 nuovi terminal e l’espansione di 4 già operanti per una capacità aggiuntiva di 38,9 milioni di metri cubi all’anno. Secondo le stime di BloombergNEF, in Cina il gap tra capacità di import e contratti di lungo termine è destinat</w:t>
      </w:r>
      <w:r w:rsidR="006A79CF">
        <w:rPr>
          <w:rStyle w:val="Nessuno"/>
          <w:rFonts w:ascii="Calibri" w:eastAsia="Calibri" w:hAnsi="Calibri" w:cs="Calibri"/>
          <w:color w:val="auto"/>
          <w:sz w:val="32"/>
          <w:szCs w:val="32"/>
          <w:shd w:val="clear" w:color="auto" w:fill="FFFFFF"/>
        </w:rPr>
        <w:t xml:space="preserve">o a passare </w:t>
      </w:r>
      <w:r w:rsidRPr="00BE3FE2">
        <w:rPr>
          <w:rStyle w:val="Nessuno"/>
          <w:rFonts w:ascii="Calibri" w:eastAsia="Calibri" w:hAnsi="Calibri" w:cs="Calibri"/>
          <w:color w:val="auto"/>
          <w:sz w:val="32"/>
          <w:szCs w:val="32"/>
          <w:shd w:val="clear" w:color="auto" w:fill="FFFFFF"/>
        </w:rPr>
        <w:t>da 45 a 93,5 milioni di tonnellate nell’arco dei prossimi 5 anni</w:t>
      </w:r>
      <w:r w:rsidR="006A79CF">
        <w:rPr>
          <w:rStyle w:val="Nessuno"/>
          <w:rFonts w:ascii="Calibri" w:eastAsia="Calibri" w:hAnsi="Calibri" w:cs="Calibri"/>
          <w:color w:val="auto"/>
          <w:sz w:val="32"/>
          <w:szCs w:val="32"/>
          <w:shd w:val="clear" w:color="auto" w:fill="FFFFFF"/>
        </w:rPr>
        <w:t>.</w:t>
      </w:r>
      <w:r w:rsidRPr="00BE3FE2">
        <w:rPr>
          <w:rStyle w:val="Nessuno"/>
          <w:rFonts w:ascii="Calibri" w:eastAsia="Calibri" w:hAnsi="Calibri" w:cs="Calibri"/>
          <w:color w:val="auto"/>
          <w:sz w:val="32"/>
          <w:szCs w:val="32"/>
          <w:shd w:val="clear" w:color="auto" w:fill="FFFFFF"/>
        </w:rPr>
        <w:t xml:space="preserve"> </w:t>
      </w:r>
    </w:p>
    <w:p w14:paraId="57D3AB36" w14:textId="6C4686DB" w:rsidR="00271F71" w:rsidRPr="00BE3FE2" w:rsidRDefault="00271F71" w:rsidP="00BE3FE2">
      <w:pPr>
        <w:spacing w:line="360" w:lineRule="auto"/>
        <w:jc w:val="both"/>
        <w:rPr>
          <w:rStyle w:val="Nessuno"/>
          <w:rFonts w:ascii="Calibri" w:eastAsia="Calibri" w:hAnsi="Calibri" w:cs="Calibri"/>
          <w:color w:val="auto"/>
          <w:sz w:val="32"/>
          <w:szCs w:val="32"/>
          <w:shd w:val="clear" w:color="auto" w:fill="FFFFFF"/>
        </w:rPr>
      </w:pPr>
      <w:r>
        <w:rPr>
          <w:noProof/>
        </w:rPr>
        <w:drawing>
          <wp:inline distT="0" distB="0" distL="0" distR="0" wp14:anchorId="68B0623D" wp14:editId="51B5A08A">
            <wp:extent cx="4791075" cy="2206747"/>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3928" cy="2208061"/>
                    </a:xfrm>
                    <a:prstGeom prst="rect">
                      <a:avLst/>
                    </a:prstGeom>
                    <a:noFill/>
                    <a:ln>
                      <a:noFill/>
                    </a:ln>
                  </pic:spPr>
                </pic:pic>
              </a:graphicData>
            </a:graphic>
          </wp:inline>
        </w:drawing>
      </w:r>
    </w:p>
    <w:p w14:paraId="0B48BA67" w14:textId="04B8A6B8" w:rsid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A tal proposito</w:t>
      </w:r>
      <w:r w:rsidR="006A79CF">
        <w:rPr>
          <w:rStyle w:val="Nessuno"/>
          <w:rFonts w:ascii="Calibri" w:eastAsia="Calibri" w:hAnsi="Calibri" w:cs="Calibri"/>
          <w:color w:val="auto"/>
          <w:sz w:val="32"/>
          <w:szCs w:val="32"/>
          <w:shd w:val="clear" w:color="auto" w:fill="FFFFFF"/>
        </w:rPr>
        <w:t>,</w:t>
      </w:r>
      <w:r w:rsidRPr="00BE3FE2">
        <w:rPr>
          <w:rStyle w:val="Nessuno"/>
          <w:rFonts w:ascii="Calibri" w:eastAsia="Calibri" w:hAnsi="Calibri" w:cs="Calibri"/>
          <w:color w:val="auto"/>
          <w:sz w:val="32"/>
          <w:szCs w:val="32"/>
          <w:shd w:val="clear" w:color="auto" w:fill="FFFFFF"/>
        </w:rPr>
        <w:t xml:space="preserve"> va evidenziato come </w:t>
      </w:r>
      <w:r w:rsidR="006A79CF" w:rsidRPr="00BE3FE2">
        <w:rPr>
          <w:rStyle w:val="Nessuno"/>
          <w:rFonts w:ascii="Calibri" w:eastAsia="Calibri" w:hAnsi="Calibri" w:cs="Calibri"/>
          <w:color w:val="auto"/>
          <w:sz w:val="32"/>
          <w:szCs w:val="32"/>
          <w:shd w:val="clear" w:color="auto" w:fill="FFFFFF"/>
        </w:rPr>
        <w:t xml:space="preserve">nel dicembre 2021 </w:t>
      </w:r>
      <w:r w:rsidRPr="00BE3FE2">
        <w:rPr>
          <w:rStyle w:val="Nessuno"/>
          <w:rFonts w:ascii="Calibri" w:eastAsia="Calibri" w:hAnsi="Calibri" w:cs="Calibri"/>
          <w:color w:val="auto"/>
          <w:sz w:val="32"/>
          <w:szCs w:val="32"/>
          <w:shd w:val="clear" w:color="auto" w:fill="FFFFFF"/>
        </w:rPr>
        <w:t>la Cina sia diventat</w:t>
      </w:r>
      <w:r w:rsidR="006A79CF">
        <w:rPr>
          <w:rStyle w:val="Nessuno"/>
          <w:rFonts w:ascii="Calibri" w:eastAsia="Calibri" w:hAnsi="Calibri" w:cs="Calibri"/>
          <w:color w:val="auto"/>
          <w:sz w:val="32"/>
          <w:szCs w:val="32"/>
          <w:shd w:val="clear" w:color="auto" w:fill="FFFFFF"/>
        </w:rPr>
        <w:t>a</w:t>
      </w:r>
      <w:r w:rsidRPr="00BE3FE2">
        <w:rPr>
          <w:rStyle w:val="Nessuno"/>
          <w:rFonts w:ascii="Calibri" w:eastAsia="Calibri" w:hAnsi="Calibri" w:cs="Calibri"/>
          <w:color w:val="auto"/>
          <w:sz w:val="32"/>
          <w:szCs w:val="32"/>
          <w:shd w:val="clear" w:color="auto" w:fill="FFFFFF"/>
        </w:rPr>
        <w:t xml:space="preserve"> il maggiore importatore di GNL superando il Giappone per la prima volta dal 1970. Nel frattempo gli Usa diverranno nel 2022 il maggiore esportatore a livello mondiale. </w:t>
      </w:r>
    </w:p>
    <w:p w14:paraId="3AE09153" w14:textId="5433E4A2" w:rsidR="00271F71" w:rsidRPr="00BE3FE2" w:rsidRDefault="00271F71" w:rsidP="00BE3FE2">
      <w:pPr>
        <w:spacing w:line="360" w:lineRule="auto"/>
        <w:jc w:val="both"/>
        <w:rPr>
          <w:rStyle w:val="Nessuno"/>
          <w:rFonts w:ascii="Calibri" w:eastAsia="Calibri" w:hAnsi="Calibri" w:cs="Calibri"/>
          <w:color w:val="auto"/>
          <w:sz w:val="32"/>
          <w:szCs w:val="32"/>
          <w:shd w:val="clear" w:color="auto" w:fill="FFFFFF"/>
        </w:rPr>
      </w:pPr>
      <w:r>
        <w:rPr>
          <w:noProof/>
        </w:rPr>
        <w:lastRenderedPageBreak/>
        <w:drawing>
          <wp:inline distT="0" distB="0" distL="0" distR="0" wp14:anchorId="65D6FFA1" wp14:editId="0419A918">
            <wp:extent cx="4948555" cy="2783883"/>
            <wp:effectExtent l="0" t="0" r="4445" b="0"/>
            <wp:docPr id="8" name="Immagine 8"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mag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4915" cy="2787461"/>
                    </a:xfrm>
                    <a:prstGeom prst="rect">
                      <a:avLst/>
                    </a:prstGeom>
                    <a:noFill/>
                    <a:ln>
                      <a:noFill/>
                    </a:ln>
                  </pic:spPr>
                </pic:pic>
              </a:graphicData>
            </a:graphic>
          </wp:inline>
        </w:drawing>
      </w:r>
    </w:p>
    <w:p w14:paraId="77498B0E" w14:textId="3E340E39" w:rsidR="00BE3FE2" w:rsidRP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2.</w:t>
      </w:r>
      <w:r w:rsidRPr="00BE3FE2">
        <w:rPr>
          <w:rStyle w:val="Nessuno"/>
          <w:rFonts w:ascii="Calibri" w:eastAsia="Calibri" w:hAnsi="Calibri" w:cs="Calibri"/>
          <w:color w:val="auto"/>
          <w:sz w:val="32"/>
          <w:szCs w:val="32"/>
          <w:shd w:val="clear" w:color="auto" w:fill="FFFFFF"/>
        </w:rPr>
        <w:tab/>
        <w:t>Sul secondo punto, se da un lato è vero che attualmente i buyer asiatici si trovano in una condizione di sostanziale assenza dal mercato, in ragione della ricostituzione delle scorte avviata dopo la grave crisi energetica</w:t>
      </w:r>
      <w:r w:rsidR="006A79CF">
        <w:rPr>
          <w:rStyle w:val="Nessuno"/>
          <w:rFonts w:ascii="Calibri" w:eastAsia="Calibri" w:hAnsi="Calibri" w:cs="Calibri"/>
          <w:color w:val="auto"/>
          <w:sz w:val="32"/>
          <w:szCs w:val="32"/>
          <w:shd w:val="clear" w:color="auto" w:fill="FFFFFF"/>
        </w:rPr>
        <w:t xml:space="preserve"> del</w:t>
      </w:r>
      <w:r w:rsidRPr="00BE3FE2">
        <w:rPr>
          <w:rStyle w:val="Nessuno"/>
          <w:rFonts w:ascii="Calibri" w:eastAsia="Calibri" w:hAnsi="Calibri" w:cs="Calibri"/>
          <w:color w:val="auto"/>
          <w:sz w:val="32"/>
          <w:szCs w:val="32"/>
          <w:shd w:val="clear" w:color="auto" w:fill="FFFFFF"/>
        </w:rPr>
        <w:t xml:space="preserve">lo scorso autunno, dall’altro lato </w:t>
      </w:r>
      <w:r w:rsidR="006A79CF">
        <w:rPr>
          <w:rStyle w:val="Nessuno"/>
          <w:rFonts w:ascii="Calibri" w:eastAsia="Calibri" w:hAnsi="Calibri" w:cs="Calibri"/>
          <w:color w:val="auto"/>
          <w:sz w:val="32"/>
          <w:szCs w:val="32"/>
          <w:shd w:val="clear" w:color="auto" w:fill="FFFFFF"/>
        </w:rPr>
        <w:t xml:space="preserve">essi </w:t>
      </w:r>
      <w:r w:rsidRPr="00BE3FE2">
        <w:rPr>
          <w:rStyle w:val="Nessuno"/>
          <w:rFonts w:ascii="Calibri" w:eastAsia="Calibri" w:hAnsi="Calibri" w:cs="Calibri"/>
          <w:color w:val="auto"/>
          <w:sz w:val="32"/>
          <w:szCs w:val="32"/>
          <w:shd w:val="clear" w:color="auto" w:fill="FFFFFF"/>
        </w:rPr>
        <w:t xml:space="preserve">tornerebbero sul mercato nel caso in cui dovessero fronteggiare una seconda parte dell’inverno più rigida del previsto. </w:t>
      </w:r>
    </w:p>
    <w:p w14:paraId="00EC4AC1" w14:textId="2C089600" w:rsidR="00BE3FE2" w:rsidRP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Non va poi tralasciato l’aumento della richiesta di GNL da parte di altri paesi che stanno emergendo come buyer marginali, come il Brasile, che nel 2021 ha assorbito la quasi totalità del GNL prodotto negli Usa. Nel 20</w:t>
      </w:r>
      <w:r w:rsidR="006A79CF">
        <w:rPr>
          <w:rStyle w:val="Nessuno"/>
          <w:rFonts w:ascii="Calibri" w:eastAsia="Calibri" w:hAnsi="Calibri" w:cs="Calibri"/>
          <w:color w:val="auto"/>
          <w:sz w:val="32"/>
          <w:szCs w:val="32"/>
          <w:shd w:val="clear" w:color="auto" w:fill="FFFFFF"/>
        </w:rPr>
        <w:t>2</w:t>
      </w:r>
      <w:r w:rsidRPr="00BE3FE2">
        <w:rPr>
          <w:rStyle w:val="Nessuno"/>
          <w:rFonts w:ascii="Calibri" w:eastAsia="Calibri" w:hAnsi="Calibri" w:cs="Calibri"/>
          <w:color w:val="auto"/>
          <w:sz w:val="32"/>
          <w:szCs w:val="32"/>
          <w:shd w:val="clear" w:color="auto" w:fill="FFFFFF"/>
        </w:rPr>
        <w:t xml:space="preserve">2 si affacceranno altri buyer come Kuwait, Vietnam, Filippine, Ghana, Hong Kong ed El Salvador. </w:t>
      </w:r>
    </w:p>
    <w:p w14:paraId="0674ED05" w14:textId="468CB309" w:rsidR="00BE3FE2" w:rsidRPr="00BE3FE2" w:rsidRDefault="006A79CF" w:rsidP="00BE3FE2">
      <w:pPr>
        <w:spacing w:line="360" w:lineRule="auto"/>
        <w:jc w:val="both"/>
        <w:rPr>
          <w:rStyle w:val="Nessuno"/>
          <w:rFonts w:ascii="Calibri" w:eastAsia="Calibri" w:hAnsi="Calibri" w:cs="Calibri"/>
          <w:color w:val="auto"/>
          <w:sz w:val="32"/>
          <w:szCs w:val="32"/>
          <w:shd w:val="clear" w:color="auto" w:fill="FFFFFF"/>
        </w:rPr>
      </w:pPr>
      <w:r>
        <w:rPr>
          <w:rStyle w:val="Nessuno"/>
          <w:rFonts w:ascii="Calibri" w:eastAsia="Calibri" w:hAnsi="Calibri" w:cs="Calibri"/>
          <w:color w:val="auto"/>
          <w:sz w:val="32"/>
          <w:szCs w:val="32"/>
          <w:shd w:val="clear" w:color="auto" w:fill="FFFFFF"/>
        </w:rPr>
        <w:t xml:space="preserve">È </w:t>
      </w:r>
      <w:r w:rsidR="00BE3FE2" w:rsidRPr="00BE3FE2">
        <w:rPr>
          <w:rStyle w:val="Nessuno"/>
          <w:rFonts w:ascii="Calibri" w:eastAsia="Calibri" w:hAnsi="Calibri" w:cs="Calibri"/>
          <w:color w:val="auto"/>
          <w:sz w:val="32"/>
          <w:szCs w:val="32"/>
          <w:shd w:val="clear" w:color="auto" w:fill="FFFFFF"/>
        </w:rPr>
        <w:t xml:space="preserve">pertanto probabile che, se l’intento di Mosca è quello di procedere all’invasione </w:t>
      </w:r>
      <w:r>
        <w:rPr>
          <w:rStyle w:val="Nessuno"/>
          <w:rFonts w:ascii="Calibri" w:eastAsia="Calibri" w:hAnsi="Calibri" w:cs="Calibri"/>
          <w:color w:val="auto"/>
          <w:sz w:val="32"/>
          <w:szCs w:val="32"/>
          <w:shd w:val="clear" w:color="auto" w:fill="FFFFFF"/>
        </w:rPr>
        <w:t>dell’</w:t>
      </w:r>
      <w:r w:rsidR="00BE3FE2" w:rsidRPr="00BE3FE2">
        <w:rPr>
          <w:rStyle w:val="Nessuno"/>
          <w:rFonts w:ascii="Calibri" w:eastAsia="Calibri" w:hAnsi="Calibri" w:cs="Calibri"/>
          <w:color w:val="auto"/>
          <w:sz w:val="32"/>
          <w:szCs w:val="32"/>
          <w:shd w:val="clear" w:color="auto" w:fill="FFFFFF"/>
        </w:rPr>
        <w:t xml:space="preserve">Ucraina utilizzando la leva del gas come deterrente a eventuali ritorsioni di Washington e Bruxelles, il timing dell’operazione </w:t>
      </w:r>
      <w:r w:rsidR="00BE3FE2" w:rsidRPr="00BE3FE2">
        <w:rPr>
          <w:rStyle w:val="Nessuno"/>
          <w:rFonts w:ascii="Calibri" w:eastAsia="Calibri" w:hAnsi="Calibri" w:cs="Calibri"/>
          <w:color w:val="auto"/>
          <w:sz w:val="32"/>
          <w:szCs w:val="32"/>
          <w:shd w:val="clear" w:color="auto" w:fill="FFFFFF"/>
        </w:rPr>
        <w:lastRenderedPageBreak/>
        <w:t xml:space="preserve">dipenderà anche dalle previsioni meteo in Europa e in Asia nel periodo gennaio-marzo.  </w:t>
      </w:r>
    </w:p>
    <w:p w14:paraId="24905B7A" w14:textId="503865A8" w:rsidR="00BE3FE2" w:rsidRP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Al netto poi della eventuale fiammata sui prezzi, un secondo ordine di problem</w:t>
      </w:r>
      <w:r w:rsidR="006A79CF">
        <w:rPr>
          <w:rStyle w:val="Nessuno"/>
          <w:rFonts w:ascii="Calibri" w:eastAsia="Calibri" w:hAnsi="Calibri" w:cs="Calibri"/>
          <w:color w:val="auto"/>
          <w:sz w:val="32"/>
          <w:szCs w:val="32"/>
          <w:shd w:val="clear" w:color="auto" w:fill="FFFFFF"/>
        </w:rPr>
        <w:t>i</w:t>
      </w:r>
      <w:r w:rsidRPr="00BE3FE2">
        <w:rPr>
          <w:rStyle w:val="Nessuno"/>
          <w:rFonts w:ascii="Calibri" w:eastAsia="Calibri" w:hAnsi="Calibri" w:cs="Calibri"/>
          <w:color w:val="auto"/>
          <w:sz w:val="32"/>
          <w:szCs w:val="32"/>
          <w:shd w:val="clear" w:color="auto" w:fill="FFFFFF"/>
        </w:rPr>
        <w:t xml:space="preserve"> riguarda gli effetti di medio termine sul mercato energetico europeo. Il punto chiave ruota sul livello di scorte di gas da cui si partirà all’inizio della stagione estiva in cui avviene la ricostituzione delle scorte. Se infatti nel periodo aprile-settembre 2022 non si riuscirà a ricostituire un adeguato livello di scorte, il rischio sarà quello di arrivare alla stagione invernale 2022-2023 nelle stesse condizioni di deficit dell’anno precedente. </w:t>
      </w:r>
    </w:p>
    <w:p w14:paraId="769BFBA4" w14:textId="6E128482" w:rsidR="00BE3FE2"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t xml:space="preserve">Non a caso l’andamento della curva </w:t>
      </w:r>
      <w:r w:rsidRPr="006A79CF">
        <w:rPr>
          <w:rStyle w:val="Nessuno"/>
          <w:rFonts w:ascii="Calibri" w:eastAsia="Calibri" w:hAnsi="Calibri" w:cs="Calibri"/>
          <w:i/>
          <w:iCs/>
          <w:color w:val="auto"/>
          <w:sz w:val="32"/>
          <w:szCs w:val="32"/>
          <w:shd w:val="clear" w:color="auto" w:fill="FFFFFF"/>
        </w:rPr>
        <w:t>forward</w:t>
      </w:r>
      <w:r w:rsidRPr="00BE3FE2">
        <w:rPr>
          <w:rStyle w:val="Nessuno"/>
          <w:rFonts w:ascii="Calibri" w:eastAsia="Calibri" w:hAnsi="Calibri" w:cs="Calibri"/>
          <w:color w:val="auto"/>
          <w:sz w:val="32"/>
          <w:szCs w:val="32"/>
          <w:shd w:val="clear" w:color="auto" w:fill="FFFFFF"/>
        </w:rPr>
        <w:t xml:space="preserve"> del TTF prefigura un livello generale di tensione di mercato per tutto il 2022</w:t>
      </w:r>
      <w:r w:rsidR="006A79CF">
        <w:rPr>
          <w:rStyle w:val="Nessuno"/>
          <w:rFonts w:ascii="Calibri" w:eastAsia="Calibri" w:hAnsi="Calibri" w:cs="Calibri"/>
          <w:color w:val="auto"/>
          <w:sz w:val="32"/>
          <w:szCs w:val="32"/>
          <w:shd w:val="clear" w:color="auto" w:fill="FFFFFF"/>
        </w:rPr>
        <w:t>,</w:t>
      </w:r>
      <w:r w:rsidRPr="00BE3FE2">
        <w:rPr>
          <w:rStyle w:val="Nessuno"/>
          <w:rFonts w:ascii="Calibri" w:eastAsia="Calibri" w:hAnsi="Calibri" w:cs="Calibri"/>
          <w:color w:val="auto"/>
          <w:sz w:val="32"/>
          <w:szCs w:val="32"/>
          <w:shd w:val="clear" w:color="auto" w:fill="FFFFFF"/>
        </w:rPr>
        <w:t xml:space="preserve"> come evidenzia il contratto con consegna </w:t>
      </w:r>
      <w:r w:rsidR="006A79CF">
        <w:rPr>
          <w:rStyle w:val="Nessuno"/>
          <w:rFonts w:ascii="Calibri" w:eastAsia="Calibri" w:hAnsi="Calibri" w:cs="Calibri"/>
          <w:color w:val="auto"/>
          <w:sz w:val="32"/>
          <w:szCs w:val="32"/>
          <w:shd w:val="clear" w:color="auto" w:fill="FFFFFF"/>
        </w:rPr>
        <w:t>a</w:t>
      </w:r>
      <w:r w:rsidRPr="00BE3FE2">
        <w:rPr>
          <w:rStyle w:val="Nessuno"/>
          <w:rFonts w:ascii="Calibri" w:eastAsia="Calibri" w:hAnsi="Calibri" w:cs="Calibri"/>
          <w:color w:val="auto"/>
          <w:sz w:val="32"/>
          <w:szCs w:val="32"/>
          <w:shd w:val="clear" w:color="auto" w:fill="FFFFFF"/>
        </w:rPr>
        <w:t>l quarto trimestre 2022 del TTF che scambia attualmente oltre i €70/MWh.</w:t>
      </w:r>
    </w:p>
    <w:p w14:paraId="57726D54" w14:textId="5BD92454" w:rsidR="00271F71" w:rsidRPr="00BE3FE2" w:rsidRDefault="00271F71" w:rsidP="00BE3FE2">
      <w:pPr>
        <w:spacing w:line="360" w:lineRule="auto"/>
        <w:jc w:val="both"/>
        <w:rPr>
          <w:rStyle w:val="Nessuno"/>
          <w:rFonts w:ascii="Calibri" w:eastAsia="Calibri" w:hAnsi="Calibri" w:cs="Calibri"/>
          <w:color w:val="auto"/>
          <w:sz w:val="32"/>
          <w:szCs w:val="32"/>
          <w:shd w:val="clear" w:color="auto" w:fill="FFFFFF"/>
        </w:rPr>
      </w:pPr>
      <w:r w:rsidRPr="00DB7DE3">
        <w:rPr>
          <w:noProof/>
        </w:rPr>
        <w:drawing>
          <wp:inline distT="0" distB="0" distL="0" distR="0" wp14:anchorId="34538B2D" wp14:editId="59B495DF">
            <wp:extent cx="5760720" cy="2868406"/>
            <wp:effectExtent l="0" t="0" r="0" b="825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868406"/>
                    </a:xfrm>
                    <a:prstGeom prst="rect">
                      <a:avLst/>
                    </a:prstGeom>
                  </pic:spPr>
                </pic:pic>
              </a:graphicData>
            </a:graphic>
          </wp:inline>
        </w:drawing>
      </w:r>
    </w:p>
    <w:p w14:paraId="5CCDEF3E" w14:textId="5911C015" w:rsidR="00BE3FE2" w:rsidRPr="00220F6B" w:rsidRDefault="00BE3FE2" w:rsidP="00BE3FE2">
      <w:pPr>
        <w:spacing w:line="360" w:lineRule="auto"/>
        <w:jc w:val="both"/>
        <w:rPr>
          <w:rStyle w:val="Nessuno"/>
          <w:rFonts w:ascii="Calibri" w:eastAsia="Calibri" w:hAnsi="Calibri" w:cs="Calibri"/>
          <w:color w:val="auto"/>
          <w:sz w:val="32"/>
          <w:szCs w:val="32"/>
          <w:shd w:val="clear" w:color="auto" w:fill="FFFFFF"/>
        </w:rPr>
      </w:pPr>
      <w:r w:rsidRPr="00BE3FE2">
        <w:rPr>
          <w:rStyle w:val="Nessuno"/>
          <w:rFonts w:ascii="Calibri" w:eastAsia="Calibri" w:hAnsi="Calibri" w:cs="Calibri"/>
          <w:color w:val="auto"/>
          <w:sz w:val="32"/>
          <w:szCs w:val="32"/>
          <w:shd w:val="clear" w:color="auto" w:fill="FFFFFF"/>
        </w:rPr>
        <w:lastRenderedPageBreak/>
        <w:t xml:space="preserve">Per concludere, confidare nelle capacità del mercato GNL per compensare l’offerta dalla Russia appare velleitario. Solamente l’avvio del NorthStream2 rappresenterebbe quel </w:t>
      </w:r>
      <w:r w:rsidRPr="006A79CF">
        <w:rPr>
          <w:rStyle w:val="Nessuno"/>
          <w:rFonts w:ascii="Calibri" w:eastAsia="Calibri" w:hAnsi="Calibri" w:cs="Calibri"/>
          <w:i/>
          <w:iCs/>
          <w:color w:val="auto"/>
          <w:sz w:val="32"/>
          <w:szCs w:val="32"/>
          <w:shd w:val="clear" w:color="auto" w:fill="FFFFFF"/>
        </w:rPr>
        <w:t>game-changer</w:t>
      </w:r>
      <w:r w:rsidRPr="00BE3FE2">
        <w:rPr>
          <w:rStyle w:val="Nessuno"/>
          <w:rFonts w:ascii="Calibri" w:eastAsia="Calibri" w:hAnsi="Calibri" w:cs="Calibri"/>
          <w:color w:val="auto"/>
          <w:sz w:val="32"/>
          <w:szCs w:val="32"/>
          <w:shd w:val="clear" w:color="auto" w:fill="FFFFFF"/>
        </w:rPr>
        <w:t xml:space="preserve"> in grado di bilanciare nel medio termine il mercato energetico europeo.</w:t>
      </w:r>
    </w:p>
    <w:sectPr w:rsidR="00BE3FE2" w:rsidRPr="00220F6B" w:rsidSect="00C9665A">
      <w:headerReference w:type="default" r:id="rId15"/>
      <w:footerReference w:type="default" r:id="rId16"/>
      <w:headerReference w:type="first" r:id="rId17"/>
      <w:footerReference w:type="first" r:id="rId18"/>
      <w:pgSz w:w="11900" w:h="16840"/>
      <w:pgMar w:top="1560" w:right="1410" w:bottom="1616" w:left="1418" w:header="709"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B29A" w14:textId="77777777" w:rsidR="00962E8A" w:rsidRDefault="00962E8A">
      <w:r>
        <w:separator/>
      </w:r>
    </w:p>
  </w:endnote>
  <w:endnote w:type="continuationSeparator" w:id="0">
    <w:p w14:paraId="7A9DC887" w14:textId="77777777" w:rsidR="00962E8A" w:rsidRDefault="0096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5097" w14:textId="77777777" w:rsidR="006F5A47" w:rsidRDefault="00935C1D">
    <w:pPr>
      <w:pStyle w:val="Pidipagina"/>
      <w:tabs>
        <w:tab w:val="clear" w:pos="9638"/>
        <w:tab w:val="right" w:pos="9044"/>
      </w:tabs>
      <w:jc w:val="right"/>
    </w:pPr>
    <w:r>
      <w:rPr>
        <w:rStyle w:val="Nessuno"/>
        <w:rFonts w:ascii="Calibri" w:eastAsia="Calibri" w:hAnsi="Calibri" w:cs="Calibri"/>
        <w:sz w:val="26"/>
        <w:szCs w:val="26"/>
      </w:rPr>
      <w:fldChar w:fldCharType="begin"/>
    </w:r>
    <w:r>
      <w:rPr>
        <w:rStyle w:val="Nessuno"/>
        <w:rFonts w:ascii="Calibri" w:eastAsia="Calibri" w:hAnsi="Calibri" w:cs="Calibri"/>
        <w:sz w:val="26"/>
        <w:szCs w:val="26"/>
      </w:rPr>
      <w:instrText xml:space="preserve"> PAGE </w:instrText>
    </w:r>
    <w:r>
      <w:rPr>
        <w:rStyle w:val="Nessuno"/>
        <w:rFonts w:ascii="Calibri" w:eastAsia="Calibri" w:hAnsi="Calibri" w:cs="Calibri"/>
        <w:sz w:val="26"/>
        <w:szCs w:val="26"/>
      </w:rPr>
      <w:fldChar w:fldCharType="separate"/>
    </w:r>
    <w:r>
      <w:rPr>
        <w:rStyle w:val="Nessuno"/>
        <w:rFonts w:ascii="Calibri" w:eastAsia="Calibri" w:hAnsi="Calibri" w:cs="Calibri"/>
        <w:sz w:val="26"/>
        <w:szCs w:val="26"/>
      </w:rPr>
      <w:t>13</w:t>
    </w:r>
    <w:r>
      <w:rPr>
        <w:rStyle w:val="Nessuno"/>
        <w:rFonts w:ascii="Calibri" w:eastAsia="Calibri" w:hAnsi="Calibri" w:cs="Calibri"/>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093A" w14:textId="77777777" w:rsidR="006F5A47" w:rsidRDefault="006F5A47">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7F731" w14:textId="77777777" w:rsidR="00962E8A" w:rsidRDefault="00962E8A">
      <w:r>
        <w:separator/>
      </w:r>
    </w:p>
  </w:footnote>
  <w:footnote w:type="continuationSeparator" w:id="0">
    <w:p w14:paraId="686AB981" w14:textId="77777777" w:rsidR="00962E8A" w:rsidRDefault="0096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4589" w14:textId="77777777" w:rsidR="006F5A47" w:rsidRDefault="006F5A47">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C6BA" w14:textId="77777777" w:rsidR="006F5A47" w:rsidRDefault="006F5A47">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26560"/>
    <w:multiLevelType w:val="hybridMultilevel"/>
    <w:tmpl w:val="91062642"/>
    <w:lvl w:ilvl="0" w:tplc="12826AE6">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0624BED"/>
    <w:multiLevelType w:val="hybridMultilevel"/>
    <w:tmpl w:val="226024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FA0685"/>
    <w:multiLevelType w:val="hybridMultilevel"/>
    <w:tmpl w:val="DA9AFE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8174BD"/>
    <w:multiLevelType w:val="multilevel"/>
    <w:tmpl w:val="718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47"/>
    <w:rsid w:val="0000062E"/>
    <w:rsid w:val="00002194"/>
    <w:rsid w:val="00012E5A"/>
    <w:rsid w:val="00022A88"/>
    <w:rsid w:val="000243AC"/>
    <w:rsid w:val="000438F8"/>
    <w:rsid w:val="00047E59"/>
    <w:rsid w:val="000523AC"/>
    <w:rsid w:val="000668DA"/>
    <w:rsid w:val="000818A6"/>
    <w:rsid w:val="000843A0"/>
    <w:rsid w:val="00093EAC"/>
    <w:rsid w:val="00096231"/>
    <w:rsid w:val="00097193"/>
    <w:rsid w:val="000A6D42"/>
    <w:rsid w:val="000D49A8"/>
    <w:rsid w:val="000E223D"/>
    <w:rsid w:val="000E6CC8"/>
    <w:rsid w:val="00102FAE"/>
    <w:rsid w:val="00113E33"/>
    <w:rsid w:val="0012233C"/>
    <w:rsid w:val="001242EC"/>
    <w:rsid w:val="00142565"/>
    <w:rsid w:val="001440ED"/>
    <w:rsid w:val="00151A2A"/>
    <w:rsid w:val="001645D8"/>
    <w:rsid w:val="00167B71"/>
    <w:rsid w:val="00173E81"/>
    <w:rsid w:val="00191B03"/>
    <w:rsid w:val="001A1924"/>
    <w:rsid w:val="001B1A8F"/>
    <w:rsid w:val="001C0913"/>
    <w:rsid w:val="001C77F5"/>
    <w:rsid w:val="001D3DD2"/>
    <w:rsid w:val="001D75E3"/>
    <w:rsid w:val="001E1839"/>
    <w:rsid w:val="001E53FE"/>
    <w:rsid w:val="001F3FA9"/>
    <w:rsid w:val="00201AA0"/>
    <w:rsid w:val="00203818"/>
    <w:rsid w:val="00211D4A"/>
    <w:rsid w:val="00220F6B"/>
    <w:rsid w:val="002213AA"/>
    <w:rsid w:val="00227E13"/>
    <w:rsid w:val="00230EE6"/>
    <w:rsid w:val="00231B96"/>
    <w:rsid w:val="00237441"/>
    <w:rsid w:val="00242288"/>
    <w:rsid w:val="00242A41"/>
    <w:rsid w:val="00244F46"/>
    <w:rsid w:val="002465A1"/>
    <w:rsid w:val="00254F71"/>
    <w:rsid w:val="002558BA"/>
    <w:rsid w:val="00261160"/>
    <w:rsid w:val="00271F71"/>
    <w:rsid w:val="002747D4"/>
    <w:rsid w:val="00281B64"/>
    <w:rsid w:val="0029143C"/>
    <w:rsid w:val="00292E4E"/>
    <w:rsid w:val="00292F8A"/>
    <w:rsid w:val="002A0620"/>
    <w:rsid w:val="002A67E3"/>
    <w:rsid w:val="002A6C96"/>
    <w:rsid w:val="002B191B"/>
    <w:rsid w:val="002B29F8"/>
    <w:rsid w:val="002D37A2"/>
    <w:rsid w:val="002F73E5"/>
    <w:rsid w:val="002F756D"/>
    <w:rsid w:val="003046A8"/>
    <w:rsid w:val="003120BB"/>
    <w:rsid w:val="00327EAB"/>
    <w:rsid w:val="00330A18"/>
    <w:rsid w:val="0033294C"/>
    <w:rsid w:val="0033614F"/>
    <w:rsid w:val="003410DD"/>
    <w:rsid w:val="00355FE9"/>
    <w:rsid w:val="00357387"/>
    <w:rsid w:val="00371EA7"/>
    <w:rsid w:val="003769EC"/>
    <w:rsid w:val="003804BE"/>
    <w:rsid w:val="003834E5"/>
    <w:rsid w:val="00383B42"/>
    <w:rsid w:val="00385F6D"/>
    <w:rsid w:val="00393F4F"/>
    <w:rsid w:val="003A61A1"/>
    <w:rsid w:val="003B74DC"/>
    <w:rsid w:val="003B7B28"/>
    <w:rsid w:val="003E1C88"/>
    <w:rsid w:val="003E6BCC"/>
    <w:rsid w:val="003F40BA"/>
    <w:rsid w:val="003F426C"/>
    <w:rsid w:val="0040178D"/>
    <w:rsid w:val="004110F4"/>
    <w:rsid w:val="00416ED6"/>
    <w:rsid w:val="00424927"/>
    <w:rsid w:val="004361ED"/>
    <w:rsid w:val="00440EDE"/>
    <w:rsid w:val="00451102"/>
    <w:rsid w:val="00457168"/>
    <w:rsid w:val="00460A39"/>
    <w:rsid w:val="004678EE"/>
    <w:rsid w:val="004679B1"/>
    <w:rsid w:val="0047456F"/>
    <w:rsid w:val="004942F3"/>
    <w:rsid w:val="004A0CB9"/>
    <w:rsid w:val="004A3479"/>
    <w:rsid w:val="004C18CA"/>
    <w:rsid w:val="004C7027"/>
    <w:rsid w:val="004C7562"/>
    <w:rsid w:val="004D1932"/>
    <w:rsid w:val="004D552A"/>
    <w:rsid w:val="004D5CE4"/>
    <w:rsid w:val="004D76DC"/>
    <w:rsid w:val="004E2704"/>
    <w:rsid w:val="004E5F0A"/>
    <w:rsid w:val="00501A78"/>
    <w:rsid w:val="00502F5D"/>
    <w:rsid w:val="005140B0"/>
    <w:rsid w:val="00524D40"/>
    <w:rsid w:val="00534F48"/>
    <w:rsid w:val="005514BB"/>
    <w:rsid w:val="00552A3B"/>
    <w:rsid w:val="00556F4C"/>
    <w:rsid w:val="00557F7A"/>
    <w:rsid w:val="005650B2"/>
    <w:rsid w:val="00566ED9"/>
    <w:rsid w:val="00586EC9"/>
    <w:rsid w:val="0059715C"/>
    <w:rsid w:val="00597A71"/>
    <w:rsid w:val="005B4EA8"/>
    <w:rsid w:val="005B686E"/>
    <w:rsid w:val="005C673A"/>
    <w:rsid w:val="005D0261"/>
    <w:rsid w:val="005D3DDA"/>
    <w:rsid w:val="005F1841"/>
    <w:rsid w:val="005F243F"/>
    <w:rsid w:val="005F48A5"/>
    <w:rsid w:val="006042AD"/>
    <w:rsid w:val="00606737"/>
    <w:rsid w:val="00613133"/>
    <w:rsid w:val="00632253"/>
    <w:rsid w:val="00633AC9"/>
    <w:rsid w:val="00653AAD"/>
    <w:rsid w:val="00656481"/>
    <w:rsid w:val="00662034"/>
    <w:rsid w:val="0066376F"/>
    <w:rsid w:val="00664C00"/>
    <w:rsid w:val="00665BB4"/>
    <w:rsid w:val="00675640"/>
    <w:rsid w:val="006764EF"/>
    <w:rsid w:val="00681131"/>
    <w:rsid w:val="0068345E"/>
    <w:rsid w:val="006934D2"/>
    <w:rsid w:val="00697008"/>
    <w:rsid w:val="006A79CF"/>
    <w:rsid w:val="006C35C2"/>
    <w:rsid w:val="006C6913"/>
    <w:rsid w:val="006C6F4D"/>
    <w:rsid w:val="006D5079"/>
    <w:rsid w:val="006D5DB2"/>
    <w:rsid w:val="006E0537"/>
    <w:rsid w:val="006E055B"/>
    <w:rsid w:val="006E4E9E"/>
    <w:rsid w:val="006E5BE0"/>
    <w:rsid w:val="006F5A47"/>
    <w:rsid w:val="00700960"/>
    <w:rsid w:val="00712E1D"/>
    <w:rsid w:val="007227C6"/>
    <w:rsid w:val="00745160"/>
    <w:rsid w:val="00754C47"/>
    <w:rsid w:val="00755824"/>
    <w:rsid w:val="0077060D"/>
    <w:rsid w:val="00771B18"/>
    <w:rsid w:val="00776766"/>
    <w:rsid w:val="007839C6"/>
    <w:rsid w:val="007848A1"/>
    <w:rsid w:val="00793FD5"/>
    <w:rsid w:val="007947E9"/>
    <w:rsid w:val="007961DC"/>
    <w:rsid w:val="00796D08"/>
    <w:rsid w:val="007A1B3D"/>
    <w:rsid w:val="007A3326"/>
    <w:rsid w:val="007B1D88"/>
    <w:rsid w:val="007B251A"/>
    <w:rsid w:val="007B51ED"/>
    <w:rsid w:val="007C2DAE"/>
    <w:rsid w:val="007C42E1"/>
    <w:rsid w:val="007C70B3"/>
    <w:rsid w:val="007D35BA"/>
    <w:rsid w:val="007D649E"/>
    <w:rsid w:val="007E0286"/>
    <w:rsid w:val="007E78BD"/>
    <w:rsid w:val="007F37B1"/>
    <w:rsid w:val="008106C1"/>
    <w:rsid w:val="00817994"/>
    <w:rsid w:val="00830715"/>
    <w:rsid w:val="00857D5D"/>
    <w:rsid w:val="008750F9"/>
    <w:rsid w:val="00885E86"/>
    <w:rsid w:val="008867BD"/>
    <w:rsid w:val="00890BCB"/>
    <w:rsid w:val="0089142E"/>
    <w:rsid w:val="00892B60"/>
    <w:rsid w:val="008A0F82"/>
    <w:rsid w:val="008C59E9"/>
    <w:rsid w:val="008D3D7F"/>
    <w:rsid w:val="008E005C"/>
    <w:rsid w:val="008E35DE"/>
    <w:rsid w:val="008E7629"/>
    <w:rsid w:val="008F0A90"/>
    <w:rsid w:val="008F2887"/>
    <w:rsid w:val="008F67EF"/>
    <w:rsid w:val="00900C52"/>
    <w:rsid w:val="00902BF1"/>
    <w:rsid w:val="00905F14"/>
    <w:rsid w:val="00906764"/>
    <w:rsid w:val="009124A0"/>
    <w:rsid w:val="00914DFE"/>
    <w:rsid w:val="00917554"/>
    <w:rsid w:val="00920154"/>
    <w:rsid w:val="0092145B"/>
    <w:rsid w:val="0092401C"/>
    <w:rsid w:val="00932E2A"/>
    <w:rsid w:val="009330D0"/>
    <w:rsid w:val="00935C1D"/>
    <w:rsid w:val="00957156"/>
    <w:rsid w:val="00957D8D"/>
    <w:rsid w:val="00962E8A"/>
    <w:rsid w:val="009652CE"/>
    <w:rsid w:val="00976AAE"/>
    <w:rsid w:val="00984CFC"/>
    <w:rsid w:val="00993EAA"/>
    <w:rsid w:val="0099609A"/>
    <w:rsid w:val="009A5B36"/>
    <w:rsid w:val="009A5DE8"/>
    <w:rsid w:val="009B6C73"/>
    <w:rsid w:val="009C46E7"/>
    <w:rsid w:val="009C4B10"/>
    <w:rsid w:val="009C6346"/>
    <w:rsid w:val="00A01762"/>
    <w:rsid w:val="00A11689"/>
    <w:rsid w:val="00A12C6E"/>
    <w:rsid w:val="00A17471"/>
    <w:rsid w:val="00A32957"/>
    <w:rsid w:val="00A344F3"/>
    <w:rsid w:val="00A354B8"/>
    <w:rsid w:val="00A36D70"/>
    <w:rsid w:val="00A37D6F"/>
    <w:rsid w:val="00A43E27"/>
    <w:rsid w:val="00A46037"/>
    <w:rsid w:val="00A46D4F"/>
    <w:rsid w:val="00A47CE4"/>
    <w:rsid w:val="00A533DA"/>
    <w:rsid w:val="00A53B27"/>
    <w:rsid w:val="00A54D04"/>
    <w:rsid w:val="00A54E49"/>
    <w:rsid w:val="00A61620"/>
    <w:rsid w:val="00A63CA2"/>
    <w:rsid w:val="00A72848"/>
    <w:rsid w:val="00A825F4"/>
    <w:rsid w:val="00A82DAB"/>
    <w:rsid w:val="00A83E2A"/>
    <w:rsid w:val="00A9079A"/>
    <w:rsid w:val="00A91F70"/>
    <w:rsid w:val="00AA0302"/>
    <w:rsid w:val="00AB008C"/>
    <w:rsid w:val="00AC0941"/>
    <w:rsid w:val="00AC34E5"/>
    <w:rsid w:val="00AD4A6D"/>
    <w:rsid w:val="00AD5D0C"/>
    <w:rsid w:val="00AE7823"/>
    <w:rsid w:val="00AF1DE9"/>
    <w:rsid w:val="00AF3A49"/>
    <w:rsid w:val="00B22A94"/>
    <w:rsid w:val="00B27377"/>
    <w:rsid w:val="00B33C00"/>
    <w:rsid w:val="00B54CAF"/>
    <w:rsid w:val="00B57734"/>
    <w:rsid w:val="00B606C5"/>
    <w:rsid w:val="00B668D1"/>
    <w:rsid w:val="00B6711A"/>
    <w:rsid w:val="00B71C4D"/>
    <w:rsid w:val="00B830A0"/>
    <w:rsid w:val="00B90AB0"/>
    <w:rsid w:val="00B938E0"/>
    <w:rsid w:val="00BA5A74"/>
    <w:rsid w:val="00BB5BCC"/>
    <w:rsid w:val="00BD4645"/>
    <w:rsid w:val="00BE3FE2"/>
    <w:rsid w:val="00BE5FED"/>
    <w:rsid w:val="00BF1D7D"/>
    <w:rsid w:val="00BF78C1"/>
    <w:rsid w:val="00C003B6"/>
    <w:rsid w:val="00C20638"/>
    <w:rsid w:val="00C2567B"/>
    <w:rsid w:val="00C2568F"/>
    <w:rsid w:val="00C30CBC"/>
    <w:rsid w:val="00C34224"/>
    <w:rsid w:val="00C35387"/>
    <w:rsid w:val="00C47CF7"/>
    <w:rsid w:val="00C60A85"/>
    <w:rsid w:val="00C67757"/>
    <w:rsid w:val="00C70A19"/>
    <w:rsid w:val="00C75234"/>
    <w:rsid w:val="00C760D7"/>
    <w:rsid w:val="00C7654D"/>
    <w:rsid w:val="00C77BC1"/>
    <w:rsid w:val="00C8449C"/>
    <w:rsid w:val="00C9665A"/>
    <w:rsid w:val="00CB2D28"/>
    <w:rsid w:val="00CB645F"/>
    <w:rsid w:val="00CC05D0"/>
    <w:rsid w:val="00CC14C4"/>
    <w:rsid w:val="00CD3BD6"/>
    <w:rsid w:val="00CD4494"/>
    <w:rsid w:val="00CE560B"/>
    <w:rsid w:val="00D003DD"/>
    <w:rsid w:val="00D0503D"/>
    <w:rsid w:val="00D05612"/>
    <w:rsid w:val="00D15594"/>
    <w:rsid w:val="00D20547"/>
    <w:rsid w:val="00D24DBC"/>
    <w:rsid w:val="00D26E8E"/>
    <w:rsid w:val="00D30D3A"/>
    <w:rsid w:val="00D334F4"/>
    <w:rsid w:val="00D37DA5"/>
    <w:rsid w:val="00D37FC3"/>
    <w:rsid w:val="00D63F20"/>
    <w:rsid w:val="00D74C54"/>
    <w:rsid w:val="00D74ED6"/>
    <w:rsid w:val="00D772C4"/>
    <w:rsid w:val="00D85D36"/>
    <w:rsid w:val="00D874B3"/>
    <w:rsid w:val="00D920AE"/>
    <w:rsid w:val="00DA07F7"/>
    <w:rsid w:val="00DA0A8F"/>
    <w:rsid w:val="00DC4383"/>
    <w:rsid w:val="00DC6B36"/>
    <w:rsid w:val="00DD0776"/>
    <w:rsid w:val="00DD4879"/>
    <w:rsid w:val="00DD560A"/>
    <w:rsid w:val="00DE1309"/>
    <w:rsid w:val="00DE3884"/>
    <w:rsid w:val="00E03ECA"/>
    <w:rsid w:val="00E15019"/>
    <w:rsid w:val="00E17389"/>
    <w:rsid w:val="00E2080E"/>
    <w:rsid w:val="00E26792"/>
    <w:rsid w:val="00E4217C"/>
    <w:rsid w:val="00E52881"/>
    <w:rsid w:val="00E6474A"/>
    <w:rsid w:val="00E7125B"/>
    <w:rsid w:val="00E81D62"/>
    <w:rsid w:val="00E83CA4"/>
    <w:rsid w:val="00E8719D"/>
    <w:rsid w:val="00EB2057"/>
    <w:rsid w:val="00EC69A5"/>
    <w:rsid w:val="00ED1AAF"/>
    <w:rsid w:val="00EE0B1C"/>
    <w:rsid w:val="00EE4AA2"/>
    <w:rsid w:val="00EF0BC2"/>
    <w:rsid w:val="00EF20A0"/>
    <w:rsid w:val="00EF2994"/>
    <w:rsid w:val="00EF601B"/>
    <w:rsid w:val="00EF70E6"/>
    <w:rsid w:val="00F021A4"/>
    <w:rsid w:val="00F05037"/>
    <w:rsid w:val="00F05542"/>
    <w:rsid w:val="00F11FEA"/>
    <w:rsid w:val="00F14E0B"/>
    <w:rsid w:val="00F174F8"/>
    <w:rsid w:val="00F21D97"/>
    <w:rsid w:val="00F33BE6"/>
    <w:rsid w:val="00F4247F"/>
    <w:rsid w:val="00F44D61"/>
    <w:rsid w:val="00F46F67"/>
    <w:rsid w:val="00F47114"/>
    <w:rsid w:val="00F6318C"/>
    <w:rsid w:val="00F66CE0"/>
    <w:rsid w:val="00F722F7"/>
    <w:rsid w:val="00F7372F"/>
    <w:rsid w:val="00F8140C"/>
    <w:rsid w:val="00F84634"/>
    <w:rsid w:val="00F92479"/>
    <w:rsid w:val="00F93161"/>
    <w:rsid w:val="00FA14E2"/>
    <w:rsid w:val="00FA38AE"/>
    <w:rsid w:val="00FA68D5"/>
    <w:rsid w:val="00FA6FE4"/>
    <w:rsid w:val="00FC48BA"/>
    <w:rsid w:val="00FD1A64"/>
    <w:rsid w:val="00FE7E21"/>
    <w:rsid w:val="00FF41B2"/>
    <w:rsid w:val="00FF43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E0C1"/>
  <w15:docId w15:val="{4FAA2E77-56C6-4BF5-8838-CDB45F49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paragraph" w:styleId="Titolo2">
    <w:name w:val="heading 2"/>
    <w:basedOn w:val="Normale"/>
    <w:link w:val="Titolo2Carattere"/>
    <w:uiPriority w:val="9"/>
    <w:qFormat/>
    <w:rsid w:val="002A6C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cs="Times New Roman"/>
      <w:b/>
      <w:bCs/>
      <w:color w:val="auto"/>
      <w:sz w:val="36"/>
      <w:szCs w:val="36"/>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link w:val="PidipaginaCarattere"/>
    <w:pPr>
      <w:tabs>
        <w:tab w:val="center" w:pos="4819"/>
        <w:tab w:val="right" w:pos="9638"/>
      </w:tabs>
    </w:pPr>
    <w:rPr>
      <w:rFonts w:cs="Arial Unicode MS"/>
      <w:color w:val="000000"/>
      <w:sz w:val="24"/>
      <w:szCs w:val="24"/>
      <w:u w:color="000000"/>
    </w:rPr>
  </w:style>
  <w:style w:type="character" w:customStyle="1" w:styleId="Nessuno">
    <w:name w:val="Nessuno"/>
  </w:style>
  <w:style w:type="paragraph" w:styleId="Corpotesto">
    <w:name w:val="Body Text"/>
    <w:pPr>
      <w:spacing w:after="240" w:line="360" w:lineRule="auto"/>
      <w:jc w:val="both"/>
    </w:pPr>
    <w:rPr>
      <w:rFonts w:ascii="Arial" w:hAnsi="Arial" w:cs="Arial Unicode MS"/>
      <w:color w:val="0000FF"/>
      <w:sz w:val="22"/>
      <w:szCs w:val="22"/>
      <w:u w:color="0000FF"/>
    </w:rPr>
  </w:style>
  <w:style w:type="character" w:customStyle="1" w:styleId="bumpedfont15">
    <w:name w:val="bumpedfont15"/>
    <w:basedOn w:val="Carpredefinitoparagrafo"/>
    <w:rsid w:val="00357387"/>
  </w:style>
  <w:style w:type="paragraph" w:styleId="Testonormale">
    <w:name w:val="Plain Text"/>
    <w:basedOn w:val="Normale"/>
    <w:link w:val="TestonormaleCarattere"/>
    <w:uiPriority w:val="99"/>
    <w:unhideWhenUsed/>
    <w:rsid w:val="0035738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eastAsia="en-US"/>
    </w:rPr>
  </w:style>
  <w:style w:type="character" w:customStyle="1" w:styleId="TestonormaleCarattere">
    <w:name w:val="Testo normale Carattere"/>
    <w:basedOn w:val="Carpredefinitoparagrafo"/>
    <w:link w:val="Testonormale"/>
    <w:uiPriority w:val="99"/>
    <w:rsid w:val="00357387"/>
    <w:rPr>
      <w:rFonts w:ascii="Calibri" w:eastAsiaTheme="minorHAnsi" w:hAnsi="Calibri" w:cstheme="minorBidi"/>
      <w:sz w:val="22"/>
      <w:szCs w:val="21"/>
      <w:bdr w:val="none" w:sz="0" w:space="0" w:color="auto"/>
      <w:lang w:eastAsia="en-US"/>
    </w:rPr>
  </w:style>
  <w:style w:type="character" w:customStyle="1" w:styleId="PidipaginaCarattere">
    <w:name w:val="Piè di pagina Carattere"/>
    <w:basedOn w:val="Carpredefinitoparagrafo"/>
    <w:link w:val="Pidipagina"/>
    <w:rsid w:val="00A53B27"/>
    <w:rPr>
      <w:rFonts w:cs="Arial Unicode MS"/>
      <w:color w:val="000000"/>
      <w:sz w:val="24"/>
      <w:szCs w:val="24"/>
      <w:u w:color="000000"/>
    </w:rPr>
  </w:style>
  <w:style w:type="character" w:customStyle="1" w:styleId="Titolo2Carattere">
    <w:name w:val="Titolo 2 Carattere"/>
    <w:basedOn w:val="Carpredefinitoparagrafo"/>
    <w:link w:val="Titolo2"/>
    <w:uiPriority w:val="9"/>
    <w:rsid w:val="002A6C96"/>
    <w:rPr>
      <w:rFonts w:eastAsia="Times New Roman"/>
      <w:b/>
      <w:bCs/>
      <w:sz w:val="36"/>
      <w:szCs w:val="36"/>
      <w:bdr w:val="none" w:sz="0" w:space="0" w:color="auto"/>
    </w:rPr>
  </w:style>
  <w:style w:type="paragraph" w:styleId="NormaleWeb">
    <w:name w:val="Normal (Web)"/>
    <w:basedOn w:val="Normale"/>
    <w:uiPriority w:val="99"/>
    <w:unhideWhenUsed/>
    <w:rsid w:val="002A6C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Paragrafoelenco">
    <w:name w:val="List Paragraph"/>
    <w:basedOn w:val="Normale"/>
    <w:uiPriority w:val="34"/>
    <w:qFormat/>
    <w:rsid w:val="004A0CB9"/>
    <w:pPr>
      <w:ind w:left="720"/>
      <w:contextualSpacing/>
    </w:pPr>
  </w:style>
  <w:style w:type="paragraph" w:customStyle="1" w:styleId="Default">
    <w:name w:val="Default"/>
    <w:rsid w:val="0068345E"/>
    <w:pPr>
      <w:pBdr>
        <w:top w:val="none" w:sz="0" w:space="0" w:color="auto"/>
        <w:left w:val="none" w:sz="0" w:space="0" w:color="auto"/>
        <w:bottom w:val="none" w:sz="0" w:space="0" w:color="auto"/>
        <w:right w:val="none" w:sz="0" w:space="0" w:color="auto"/>
        <w:between w:val="none" w:sz="0" w:space="0" w:color="auto"/>
        <w:bar w:val="none" w:sz="0" w:color="auto"/>
      </w:pBdr>
    </w:pPr>
    <w:rPr>
      <w:rFonts w:ascii="Book Antiqua" w:hAnsi="Book Antiqua" w:cs="Arial Unicode MS"/>
      <w:color w:val="000000"/>
      <w:sz w:val="24"/>
      <w:szCs w:val="24"/>
      <w:u w:color="000000"/>
      <w:bdr w:val="none" w:sz="0" w:space="0" w:color="auto"/>
    </w:rPr>
  </w:style>
  <w:style w:type="paragraph" w:styleId="Corpodeltesto3">
    <w:name w:val="Body Text 3"/>
    <w:link w:val="Corpodeltesto3Carattere"/>
    <w:rsid w:val="00BA5A74"/>
    <w:pPr>
      <w:spacing w:after="120"/>
    </w:pPr>
    <w:rPr>
      <w:rFonts w:cs="Arial Unicode MS"/>
      <w:color w:val="000000"/>
      <w:sz w:val="16"/>
      <w:szCs w:val="16"/>
      <w:u w:color="000000"/>
    </w:rPr>
  </w:style>
  <w:style w:type="character" w:customStyle="1" w:styleId="Corpodeltesto3Carattere">
    <w:name w:val="Corpo del testo 3 Carattere"/>
    <w:basedOn w:val="Carpredefinitoparagrafo"/>
    <w:link w:val="Corpodeltesto3"/>
    <w:rsid w:val="00BA5A74"/>
    <w:rPr>
      <w:rFonts w:cs="Arial Unicode MS"/>
      <w:color w:val="000000"/>
      <w:sz w:val="16"/>
      <w:szCs w:val="16"/>
      <w:u w:color="000000"/>
    </w:rPr>
  </w:style>
  <w:style w:type="character" w:styleId="Enfasigrassetto">
    <w:name w:val="Strong"/>
    <w:basedOn w:val="Carpredefinitoparagrafo"/>
    <w:uiPriority w:val="22"/>
    <w:qFormat/>
    <w:rsid w:val="00A32957"/>
    <w:rPr>
      <w:b/>
      <w:bCs/>
    </w:rPr>
  </w:style>
  <w:style w:type="paragraph" w:styleId="Testofumetto">
    <w:name w:val="Balloon Text"/>
    <w:basedOn w:val="Normale"/>
    <w:link w:val="TestofumettoCarattere"/>
    <w:uiPriority w:val="99"/>
    <w:semiHidden/>
    <w:unhideWhenUsed/>
    <w:rsid w:val="0075582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5824"/>
    <w:rPr>
      <w:rFonts w:ascii="Segoe UI" w:hAnsi="Segoe UI" w:cs="Segoe UI"/>
      <w:color w:val="000000"/>
      <w:sz w:val="18"/>
      <w:szCs w:val="18"/>
      <w:u w:color="000000"/>
    </w:rPr>
  </w:style>
  <w:style w:type="paragraph" w:customStyle="1" w:styleId="s3">
    <w:name w:val="s3"/>
    <w:basedOn w:val="Normale"/>
    <w:rsid w:val="006764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auto"/>
      <w:sz w:val="22"/>
      <w:szCs w:val="22"/>
      <w:bdr w:val="none" w:sz="0" w:space="0" w:color="auto"/>
      <w:lang w:eastAsia="en-US"/>
    </w:rPr>
  </w:style>
  <w:style w:type="character" w:customStyle="1" w:styleId="s2">
    <w:name w:val="s2"/>
    <w:basedOn w:val="Carpredefinitoparagrafo"/>
    <w:rsid w:val="00676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547">
      <w:bodyDiv w:val="1"/>
      <w:marLeft w:val="0"/>
      <w:marRight w:val="0"/>
      <w:marTop w:val="0"/>
      <w:marBottom w:val="0"/>
      <w:divBdr>
        <w:top w:val="none" w:sz="0" w:space="0" w:color="auto"/>
        <w:left w:val="none" w:sz="0" w:space="0" w:color="auto"/>
        <w:bottom w:val="none" w:sz="0" w:space="0" w:color="auto"/>
        <w:right w:val="none" w:sz="0" w:space="0" w:color="auto"/>
      </w:divBdr>
    </w:div>
    <w:div w:id="115875144">
      <w:bodyDiv w:val="1"/>
      <w:marLeft w:val="0"/>
      <w:marRight w:val="0"/>
      <w:marTop w:val="0"/>
      <w:marBottom w:val="0"/>
      <w:divBdr>
        <w:top w:val="none" w:sz="0" w:space="0" w:color="auto"/>
        <w:left w:val="none" w:sz="0" w:space="0" w:color="auto"/>
        <w:bottom w:val="none" w:sz="0" w:space="0" w:color="auto"/>
        <w:right w:val="none" w:sz="0" w:space="0" w:color="auto"/>
      </w:divBdr>
    </w:div>
    <w:div w:id="186408848">
      <w:bodyDiv w:val="1"/>
      <w:marLeft w:val="0"/>
      <w:marRight w:val="0"/>
      <w:marTop w:val="0"/>
      <w:marBottom w:val="0"/>
      <w:divBdr>
        <w:top w:val="none" w:sz="0" w:space="0" w:color="auto"/>
        <w:left w:val="none" w:sz="0" w:space="0" w:color="auto"/>
        <w:bottom w:val="none" w:sz="0" w:space="0" w:color="auto"/>
        <w:right w:val="none" w:sz="0" w:space="0" w:color="auto"/>
      </w:divBdr>
    </w:div>
    <w:div w:id="236794310">
      <w:bodyDiv w:val="1"/>
      <w:marLeft w:val="0"/>
      <w:marRight w:val="0"/>
      <w:marTop w:val="0"/>
      <w:marBottom w:val="0"/>
      <w:divBdr>
        <w:top w:val="none" w:sz="0" w:space="0" w:color="auto"/>
        <w:left w:val="none" w:sz="0" w:space="0" w:color="auto"/>
        <w:bottom w:val="none" w:sz="0" w:space="0" w:color="auto"/>
        <w:right w:val="none" w:sz="0" w:space="0" w:color="auto"/>
      </w:divBdr>
    </w:div>
    <w:div w:id="375467774">
      <w:bodyDiv w:val="1"/>
      <w:marLeft w:val="0"/>
      <w:marRight w:val="0"/>
      <w:marTop w:val="0"/>
      <w:marBottom w:val="0"/>
      <w:divBdr>
        <w:top w:val="none" w:sz="0" w:space="0" w:color="auto"/>
        <w:left w:val="none" w:sz="0" w:space="0" w:color="auto"/>
        <w:bottom w:val="none" w:sz="0" w:space="0" w:color="auto"/>
        <w:right w:val="none" w:sz="0" w:space="0" w:color="auto"/>
      </w:divBdr>
    </w:div>
    <w:div w:id="383873836">
      <w:bodyDiv w:val="1"/>
      <w:marLeft w:val="0"/>
      <w:marRight w:val="0"/>
      <w:marTop w:val="0"/>
      <w:marBottom w:val="0"/>
      <w:divBdr>
        <w:top w:val="none" w:sz="0" w:space="0" w:color="auto"/>
        <w:left w:val="none" w:sz="0" w:space="0" w:color="auto"/>
        <w:bottom w:val="none" w:sz="0" w:space="0" w:color="auto"/>
        <w:right w:val="none" w:sz="0" w:space="0" w:color="auto"/>
      </w:divBdr>
    </w:div>
    <w:div w:id="400173289">
      <w:bodyDiv w:val="1"/>
      <w:marLeft w:val="0"/>
      <w:marRight w:val="0"/>
      <w:marTop w:val="0"/>
      <w:marBottom w:val="0"/>
      <w:divBdr>
        <w:top w:val="none" w:sz="0" w:space="0" w:color="auto"/>
        <w:left w:val="none" w:sz="0" w:space="0" w:color="auto"/>
        <w:bottom w:val="none" w:sz="0" w:space="0" w:color="auto"/>
        <w:right w:val="none" w:sz="0" w:space="0" w:color="auto"/>
      </w:divBdr>
    </w:div>
    <w:div w:id="481853386">
      <w:bodyDiv w:val="1"/>
      <w:marLeft w:val="0"/>
      <w:marRight w:val="0"/>
      <w:marTop w:val="0"/>
      <w:marBottom w:val="0"/>
      <w:divBdr>
        <w:top w:val="none" w:sz="0" w:space="0" w:color="auto"/>
        <w:left w:val="none" w:sz="0" w:space="0" w:color="auto"/>
        <w:bottom w:val="none" w:sz="0" w:space="0" w:color="auto"/>
        <w:right w:val="none" w:sz="0" w:space="0" w:color="auto"/>
      </w:divBdr>
    </w:div>
    <w:div w:id="513541866">
      <w:bodyDiv w:val="1"/>
      <w:marLeft w:val="0"/>
      <w:marRight w:val="0"/>
      <w:marTop w:val="0"/>
      <w:marBottom w:val="0"/>
      <w:divBdr>
        <w:top w:val="none" w:sz="0" w:space="0" w:color="auto"/>
        <w:left w:val="none" w:sz="0" w:space="0" w:color="auto"/>
        <w:bottom w:val="none" w:sz="0" w:space="0" w:color="auto"/>
        <w:right w:val="none" w:sz="0" w:space="0" w:color="auto"/>
      </w:divBdr>
    </w:div>
    <w:div w:id="677587008">
      <w:bodyDiv w:val="1"/>
      <w:marLeft w:val="0"/>
      <w:marRight w:val="0"/>
      <w:marTop w:val="0"/>
      <w:marBottom w:val="0"/>
      <w:divBdr>
        <w:top w:val="none" w:sz="0" w:space="0" w:color="auto"/>
        <w:left w:val="none" w:sz="0" w:space="0" w:color="auto"/>
        <w:bottom w:val="none" w:sz="0" w:space="0" w:color="auto"/>
        <w:right w:val="none" w:sz="0" w:space="0" w:color="auto"/>
      </w:divBdr>
    </w:div>
    <w:div w:id="867570183">
      <w:bodyDiv w:val="1"/>
      <w:marLeft w:val="0"/>
      <w:marRight w:val="0"/>
      <w:marTop w:val="0"/>
      <w:marBottom w:val="0"/>
      <w:divBdr>
        <w:top w:val="none" w:sz="0" w:space="0" w:color="auto"/>
        <w:left w:val="none" w:sz="0" w:space="0" w:color="auto"/>
        <w:bottom w:val="none" w:sz="0" w:space="0" w:color="auto"/>
        <w:right w:val="none" w:sz="0" w:space="0" w:color="auto"/>
      </w:divBdr>
    </w:div>
    <w:div w:id="907113032">
      <w:bodyDiv w:val="1"/>
      <w:marLeft w:val="0"/>
      <w:marRight w:val="0"/>
      <w:marTop w:val="0"/>
      <w:marBottom w:val="0"/>
      <w:divBdr>
        <w:top w:val="none" w:sz="0" w:space="0" w:color="auto"/>
        <w:left w:val="none" w:sz="0" w:space="0" w:color="auto"/>
        <w:bottom w:val="none" w:sz="0" w:space="0" w:color="auto"/>
        <w:right w:val="none" w:sz="0" w:space="0" w:color="auto"/>
      </w:divBdr>
    </w:div>
    <w:div w:id="920141878">
      <w:bodyDiv w:val="1"/>
      <w:marLeft w:val="0"/>
      <w:marRight w:val="0"/>
      <w:marTop w:val="0"/>
      <w:marBottom w:val="0"/>
      <w:divBdr>
        <w:top w:val="none" w:sz="0" w:space="0" w:color="auto"/>
        <w:left w:val="none" w:sz="0" w:space="0" w:color="auto"/>
        <w:bottom w:val="none" w:sz="0" w:space="0" w:color="auto"/>
        <w:right w:val="none" w:sz="0" w:space="0" w:color="auto"/>
      </w:divBdr>
    </w:div>
    <w:div w:id="1084062801">
      <w:bodyDiv w:val="1"/>
      <w:marLeft w:val="0"/>
      <w:marRight w:val="0"/>
      <w:marTop w:val="0"/>
      <w:marBottom w:val="0"/>
      <w:divBdr>
        <w:top w:val="none" w:sz="0" w:space="0" w:color="auto"/>
        <w:left w:val="none" w:sz="0" w:space="0" w:color="auto"/>
        <w:bottom w:val="none" w:sz="0" w:space="0" w:color="auto"/>
        <w:right w:val="none" w:sz="0" w:space="0" w:color="auto"/>
      </w:divBdr>
    </w:div>
    <w:div w:id="1311715437">
      <w:bodyDiv w:val="1"/>
      <w:marLeft w:val="0"/>
      <w:marRight w:val="0"/>
      <w:marTop w:val="0"/>
      <w:marBottom w:val="0"/>
      <w:divBdr>
        <w:top w:val="none" w:sz="0" w:space="0" w:color="auto"/>
        <w:left w:val="none" w:sz="0" w:space="0" w:color="auto"/>
        <w:bottom w:val="none" w:sz="0" w:space="0" w:color="auto"/>
        <w:right w:val="none" w:sz="0" w:space="0" w:color="auto"/>
      </w:divBdr>
    </w:div>
    <w:div w:id="1359426307">
      <w:bodyDiv w:val="1"/>
      <w:marLeft w:val="0"/>
      <w:marRight w:val="0"/>
      <w:marTop w:val="0"/>
      <w:marBottom w:val="0"/>
      <w:divBdr>
        <w:top w:val="none" w:sz="0" w:space="0" w:color="auto"/>
        <w:left w:val="none" w:sz="0" w:space="0" w:color="auto"/>
        <w:bottom w:val="none" w:sz="0" w:space="0" w:color="auto"/>
        <w:right w:val="none" w:sz="0" w:space="0" w:color="auto"/>
      </w:divBdr>
    </w:div>
    <w:div w:id="1376076944">
      <w:bodyDiv w:val="1"/>
      <w:marLeft w:val="0"/>
      <w:marRight w:val="0"/>
      <w:marTop w:val="0"/>
      <w:marBottom w:val="0"/>
      <w:divBdr>
        <w:top w:val="none" w:sz="0" w:space="0" w:color="auto"/>
        <w:left w:val="none" w:sz="0" w:space="0" w:color="auto"/>
        <w:bottom w:val="none" w:sz="0" w:space="0" w:color="auto"/>
        <w:right w:val="none" w:sz="0" w:space="0" w:color="auto"/>
      </w:divBdr>
    </w:div>
    <w:div w:id="1379816758">
      <w:bodyDiv w:val="1"/>
      <w:marLeft w:val="0"/>
      <w:marRight w:val="0"/>
      <w:marTop w:val="0"/>
      <w:marBottom w:val="0"/>
      <w:divBdr>
        <w:top w:val="none" w:sz="0" w:space="0" w:color="auto"/>
        <w:left w:val="none" w:sz="0" w:space="0" w:color="auto"/>
        <w:bottom w:val="none" w:sz="0" w:space="0" w:color="auto"/>
        <w:right w:val="none" w:sz="0" w:space="0" w:color="auto"/>
      </w:divBdr>
    </w:div>
    <w:div w:id="1806972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BE02E-2757-4ED0-B3AD-AFB601B9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1103</Words>
  <Characters>6293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Elisabetta Malfitano</dc:creator>
  <cp:lastModifiedBy>Anna Nobile</cp:lastModifiedBy>
  <cp:revision>4</cp:revision>
  <cp:lastPrinted>2020-11-20T09:32:00Z</cp:lastPrinted>
  <dcterms:created xsi:type="dcterms:W3CDTF">2022-01-17T17:02:00Z</dcterms:created>
  <dcterms:modified xsi:type="dcterms:W3CDTF">2022-01-18T16:22:00Z</dcterms:modified>
</cp:coreProperties>
</file>